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X50fe0f36aba5acfab602a66b8bb3e98fe17db22"/>
    <w:p>
      <w:pPr>
        <w:pStyle w:val="Heading1"/>
      </w:pPr>
      <w:r>
        <w:t xml:space="preserve">Session 15, Evening Form — THE RHYTHM AND THE FOUR QUESTIONS</w:t>
      </w:r>
    </w:p>
    <w:p>
      <w:pPr>
        <w:pStyle w:val="FirstParagraph"/>
      </w:pPr>
      <w:r>
        <w:rPr>
          <w:b/>
          <w:bCs/>
        </w:rPr>
        <w:t xml:space="preserve">AUTO-ADAPTED DRAFT from</w:t>
      </w:r>
      <w:r>
        <w:rPr>
          <w:b/>
          <w:bCs/>
        </w:rPr>
        <w:t xml:space="preserve"> </w:t>
      </w:r>
      <w:r>
        <w:rPr>
          <w:rStyle w:val="VerbatimChar"/>
          <w:b/>
          <w:bCs/>
        </w:rPr>
        <w:t xml:space="preserve">docs/getting-started/week-15-rhythm.md</w:t>
      </w:r>
      <w:r>
        <w:rPr>
          <w:b/>
          <w:bCs/>
        </w:rPr>
        <w:t xml:space="preserve">, which keeps</w:t>
      </w:r>
      <w:r>
        <w:rPr>
          <w:b/>
          <w:bCs/>
        </w:rPr>
        <w:t xml:space="preserve"> </w:t>
      </w:r>
      <w:r>
        <w:rPr>
          <w:b/>
          <w:bCs/>
        </w:rPr>
        <w:t xml:space="preserve">the full scripts, watch-fors, and crisis contingencies. The middle blocks below</w:t>
      </w:r>
      <w:r>
        <w:rPr>
          <w:b/>
          <w:bCs/>
        </w:rPr>
        <w:t xml:space="preserve"> </w:t>
      </w:r>
      <w:r>
        <w:rPr>
          <w:b/>
          <w:bCs/>
        </w:rPr>
        <w:t xml:space="preserve">carry the school session’s content scaled into the evening frame; the leading</w:t>
      </w:r>
      <w:r>
        <w:rPr>
          <w:b/>
          <w:bCs/>
        </w:rPr>
        <w:t xml:space="preserve"> </w:t>
      </w:r>
      <w:r>
        <w:rPr>
          <w:b/>
          <w:bCs/>
        </w:rPr>
        <w:t xml:space="preserve">team tunes the minutes and the leads at the planning lab before this session.</w:t>
      </w:r>
    </w:p>
    <w:p>
      <w:pPr>
        <w:pStyle w:val="BodyText"/>
      </w:pPr>
      <w:r>
        <w:rPr>
          <w:b/>
          <w:bCs/>
        </w:rPr>
        <w:t xml:space="preserve">Aim (from the school version).</w:t>
      </w:r>
      <w:r>
        <w:t xml:space="preserve"> </w:t>
      </w:r>
      <w:r>
        <w:t xml:space="preserve">Install the long walk before the sending, and commission the bravest asking of the year. The series’ practices only matter if they survive the series — tonight gives every participant the rhythm that carries them — and then hands the parents four questions to ask at home, and the posture to receive the answers without defending.</w:t>
      </w:r>
    </w:p>
    <w:p>
      <w:pPr>
        <w:pStyle w:val="BodyText"/>
      </w:pPr>
      <w:r>
        <w:rPr>
          <w:b/>
          <w:bCs/>
        </w:rPr>
        <w:t xml:space="preserve">Anchor.</w:t>
      </w:r>
      <w:r>
        <w:t xml:space="preserve"> </w:t>
      </w:r>
      <w:r>
        <w:t xml:space="preserve">Galatians 6:9 (</w:t>
      </w:r>
      <w:r>
        <w:t xml:space="preserve">“And let us not grow weary of doing good, for in due season we will reap, if we do not give up”</w:t>
      </w:r>
      <w:r>
        <w:t xml:space="preserve">) for the rhythm; Psalm 139:23–24 — the</w:t>
      </w:r>
      <w:r>
        <w:t xml:space="preserve"> </w:t>
      </w:r>
      <w:r>
        <w:t xml:space="preserve">“Search me, O God”</w:t>
      </w:r>
      <w:r>
        <w:t xml:space="preserve"> </w:t>
      </w:r>
      <w:r>
        <w:t xml:space="preserve">prayer the room prayed vertically in Weeks 3–4, now asked horizontally — for the questions. Secondary: James 1:19 (quick to hear, slow to speak).</w:t>
      </w:r>
    </w:p>
    <w:bookmarkStart w:id="9"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of practice reported, week-one check-ins debriefed. One-sentence shares, a parent starts the sharing.</w:t>
            </w:r>
          </w:p>
        </w:tc>
        <w:tc>
          <w:tcPr/>
          <w:p>
            <w:pPr>
              <w:pStyle w:val="Compact"/>
            </w:pPr>
            <w:r>
              <w:t xml:space="preserve">Container holder</w:t>
            </w:r>
          </w:p>
        </w:tc>
      </w:tr>
      <w:tr>
        <w:tc>
          <w:tcPr/>
          <w:p>
            <w:pPr>
              <w:pStyle w:val="Compact"/>
            </w:pPr>
            <w:r>
              <w:t xml:space="preserve">7:25-7:29</w:t>
            </w:r>
          </w:p>
        </w:tc>
        <w:tc>
          <w:tcPr/>
          <w:p>
            <w:pPr>
              <w:pStyle w:val="Compact"/>
            </w:pPr>
            <w:r>
              <w:t xml:space="preserve">Block 2: Week 13 completion</w:t>
            </w:r>
          </w:p>
        </w:tc>
        <w:tc>
          <w:tcPr/>
          <w:p>
            <w:pPr>
              <w:pStyle w:val="Compact"/>
            </w:pPr>
            <w:r>
              <w:t xml:space="preserve">Content presenter; container holder watching the room</w:t>
            </w:r>
          </w:p>
        </w:tc>
      </w:tr>
      <w:tr>
        <w:tc>
          <w:tcPr/>
          <w:p>
            <w:pPr>
              <w:pStyle w:val="Compact"/>
            </w:pPr>
            <w:r>
              <w:t xml:space="preserve">7:29-7:36</w:t>
            </w:r>
          </w:p>
        </w:tc>
        <w:tc>
          <w:tcPr/>
          <w:p>
            <w:pPr>
              <w:pStyle w:val="Compact"/>
            </w:pPr>
            <w:r>
              <w:t xml:space="preserve">Block 3: The long walk — Gal. 6:9</w:t>
            </w:r>
          </w:p>
        </w:tc>
        <w:tc>
          <w:tcPr/>
          <w:p>
            <w:pPr>
              <w:pStyle w:val="Compact"/>
            </w:pPr>
            <w:r>
              <w:t xml:space="preserve">Content presenter; container holder watching the room</w:t>
            </w:r>
          </w:p>
        </w:tc>
      </w:tr>
      <w:tr>
        <w:tc>
          <w:tcPr/>
          <w:p>
            <w:pPr>
              <w:pStyle w:val="Compact"/>
            </w:pPr>
            <w:r>
              <w:t xml:space="preserve">7:36-7:39</w:t>
            </w:r>
          </w:p>
        </w:tc>
        <w:tc>
          <w:tcPr/>
          <w:p>
            <w:pPr>
              <w:pStyle w:val="Compact"/>
            </w:pPr>
            <w:r>
              <w:t xml:space="preserve">Block 4: The Rhythm Card introduced</w:t>
            </w:r>
          </w:p>
        </w:tc>
        <w:tc>
          <w:tcPr/>
          <w:p>
            <w:pPr>
              <w:pStyle w:val="Compact"/>
            </w:pPr>
            <w:r>
              <w:t xml:space="preserve">Content presenter; container holder watching the room</w:t>
            </w:r>
          </w:p>
        </w:tc>
      </w:tr>
      <w:tr>
        <w:tc>
          <w:tcPr/>
          <w:p>
            <w:pPr>
              <w:pStyle w:val="Compact"/>
            </w:pPr>
            <w:r>
              <w:t xml:space="preserve">7:39-7:58</w:t>
            </w:r>
          </w:p>
        </w:tc>
        <w:tc>
          <w:tcPr/>
          <w:p>
            <w:pPr>
              <w:pStyle w:val="Compact"/>
            </w:pPr>
            <w:r>
              <w:t xml:space="preserve">Block 5: Building your Rhythm Card</w:t>
            </w:r>
          </w:p>
        </w:tc>
        <w:tc>
          <w:tcPr/>
          <w:p>
            <w:pPr>
              <w:pStyle w:val="Compact"/>
            </w:pPr>
            <w:r>
              <w:t xml:space="preserve">Content presenter; container holder watching the room</w:t>
            </w:r>
          </w:p>
        </w:tc>
      </w:tr>
      <w:tr>
        <w:tc>
          <w:tcPr/>
          <w:p>
            <w:pPr>
              <w:pStyle w:val="Compact"/>
            </w:pPr>
            <w:r>
              <w:t xml:space="preserve">7:58-8:20</w:t>
            </w:r>
          </w:p>
        </w:tc>
        <w:tc>
          <w:tcPr/>
          <w:p>
            <w:pPr>
              <w:pStyle w:val="Compact"/>
            </w:pPr>
            <w:r>
              <w:t xml:space="preserve">Block 6: The Four Questions</w:t>
            </w:r>
          </w:p>
        </w:tc>
        <w:tc>
          <w:tcPr/>
          <w:p>
            <w:pPr>
              <w:pStyle w:val="Compact"/>
            </w:pPr>
            <w:r>
              <w:t xml:space="preserve">Content presenter; container holder watching the room</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9"/>
    <w:bookmarkStart w:id="10" w:name="X6e0e85d2b7fb831ee4030695a38ece41a37dd87"/>
    <w:p>
      <w:pPr>
        <w:pStyle w:val="Heading2"/>
      </w:pPr>
      <w:r>
        <w:t xml:space="preserve">The homework handout (Session 15, two weeks)</w:t>
      </w:r>
    </w:p>
    <w:p>
      <w:pPr>
        <w:pStyle w:val="Compact"/>
        <w:numPr>
          <w:ilvl w:val="0"/>
          <w:numId w:val="1001"/>
        </w:numPr>
      </w:pPr>
      <w:r>
        <w:rPr>
          <w:b/>
          <w:bCs/>
        </w:rPr>
        <w:t xml:space="preserve">The practice, week one.</w:t>
      </w:r>
      <w:r>
        <w:t xml:space="preserve"> </w:t>
      </w:r>
      <w:r>
        <w:t xml:space="preserve">For the willing: the parent asks their teen the four questions at home — unhurried, no audience, phone away — and receives the answers without defending. Married parents are encouraged to also ask their spouse, separately. And everyone runs the Rhythm Card as built, for real, across the break, noting in the journal where it held and where it slipped.</w:t>
      </w:r>
    </w:p>
    <w:p>
      <w:pPr>
        <w:pStyle w:val="Compact"/>
        <w:numPr>
          <w:ilvl w:val="0"/>
          <w:numId w:val="1001"/>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1"/>
        </w:numPr>
      </w:pPr>
      <w:r>
        <w:rPr>
          <w:b/>
          <w:bCs/>
        </w:rPr>
        <w:t xml:space="preserve">The practice, week two.</w:t>
      </w:r>
      <w:r>
        <w:t xml:space="preserve"> </w:t>
      </w:r>
      <w:r>
        <w:t xml:space="preserve">Continue or deepen the same practice, as the</w:t>
      </w:r>
      <w:r>
        <w:t xml:space="preserve"> </w:t>
      </w:r>
      <w:r>
        <w:t xml:space="preserve">session specifies; journal what happens.</w:t>
      </w:r>
    </w:p>
    <w:p>
      <w:pPr>
        <w:pStyle w:val="Compact"/>
        <w:numPr>
          <w:ilvl w:val="0"/>
          <w:numId w:val="1001"/>
        </w:numPr>
      </w:pPr>
      <w:r>
        <w:rPr>
          <w:b/>
          <w:bCs/>
        </w:rPr>
        <w:t xml:space="preserve">One sentence of preparation.</w:t>
      </w:r>
      <w:r>
        <w:t xml:space="preserve"> </w:t>
      </w:r>
      <w:r>
        <w:t xml:space="preserve">Set at commissioning from the session’s</w:t>
      </w:r>
      <w:r>
        <w:t xml:space="preserve"> </w:t>
      </w:r>
      <w:r>
        <w:t xml:space="preserve">materials.</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0"/>
    <w:bookmarkStart w:id="11" w:name="evening-standing-notes"/>
    <w:p>
      <w:pPr>
        <w:pStyle w:val="Heading2"/>
      </w:pPr>
      <w:r>
        <w:t xml:space="preserve">Evening standing notes</w:t>
      </w:r>
    </w:p>
    <w:p>
      <w:pPr>
        <w:pStyle w:val="Compact"/>
        <w:numPr>
          <w:ilvl w:val="0"/>
          <w:numId w:val="1002"/>
        </w:numPr>
      </w:pPr>
      <w:r>
        <w:t xml:space="preserve">The school version’s watch-fors and crisis contingencies stand; read them</w:t>
      </w:r>
      <w:r>
        <w:t xml:space="preserve"> </w:t>
      </w:r>
      <w:r>
        <w:t xml:space="preserve">in the week file before the planning lab.</w:t>
      </w:r>
    </w:p>
    <w:p>
      <w:pPr>
        <w:pStyle w:val="Compact"/>
        <w:numPr>
          <w:ilvl w:val="0"/>
          <w:numId w:val="1002"/>
        </w:numPr>
      </w:pPr>
      <w:r>
        <w:t xml:space="preserve">Cluster work runs as pairs at home scale; the bright line holds; teen</w:t>
      </w:r>
      <w:r>
        <w:t xml:space="preserve"> </w:t>
      </w:r>
      <w:r>
        <w:t xml:space="preserve">leads hand off to an adult as needed.</w:t>
      </w:r>
    </w:p>
    <w:p>
      <w:pPr>
        <w:pStyle w:val="Compact"/>
        <w:numPr>
          <w:ilvl w:val="0"/>
          <w:numId w:val="1002"/>
        </w:numPr>
      </w:pPr>
      <w:r>
        <w:t xml:space="preserve">The leads split the middle blocks at the planning lab; the Lead column</w:t>
      </w:r>
      <w:r>
        <w:t xml:space="preserve"> </w:t>
      </w:r>
      <w:r>
        <w:t xml:space="preserve">above is the default, not the decision.</w:t>
      </w:r>
    </w:p>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2026-09-09T17:07:38Z</dcterms:created>
  <dcterms:modified xsi:type="dcterms:W3CDTF">2026-09-09T17:07:38Z</dcterms:modified>
</cp:coreProperties>
</file>

<file path=docProps/custom.xml><?xml version="1.0" encoding="utf-8"?>
<Properties xmlns="http://schemas.openxmlformats.org/officeDocument/2006/custom-properties" xmlns:vt="http://schemas.openxmlformats.org/officeDocument/2006/docPropsVTypes"/>
</file>