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058a907fcf403f8ec2d94e07884dbbea8e8d24"/>
    <w:p>
      <w:pPr>
        <w:pStyle w:val="Heading1"/>
      </w:pPr>
      <w:r>
        <w:t xml:space="preserve">Session 16, Evening Form — FAMILY CONVERSATION NIGHT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docs/getting-started/week-16-family-night.md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A shared meal and the Family Conversation Cards — low content, high warmth. The container the cohort has built for fifteen weeks gets to simply hold people for an evening: tables, real food, unhurried talk, and two or three card questions over dessert. Pulse 3 goes home at the close and steers the final quarter.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7:25-7:29</w:t>
            </w:r>
          </w:p>
        </w:tc>
        <w:tc>
          <w:tcPr/>
          <w:p>
            <w:pPr>
              <w:pStyle w:val="Compact"/>
            </w:pPr>
            <w:r>
              <w:t xml:space="preserve">Block 2: Rhythm-noticing round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7:29-7:31</w:t>
            </w:r>
          </w:p>
        </w:tc>
        <w:tc>
          <w:tcPr/>
          <w:p>
            <w:pPr>
              <w:pStyle w:val="Compact"/>
            </w:pPr>
            <w:r>
              <w:t xml:space="preserve">Block 3: Acts 2:46 and the table grace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7:31-7:59</w:t>
            </w:r>
          </w:p>
        </w:tc>
        <w:tc>
          <w:tcPr/>
          <w:p>
            <w:pPr>
              <w:pStyle w:val="Compact"/>
            </w:pPr>
            <w:r>
              <w:t xml:space="preserve">Block 4: The meal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7:59-8:17</w:t>
            </w:r>
          </w:p>
        </w:tc>
        <w:tc>
          <w:tcPr/>
          <w:p>
            <w:pPr>
              <w:pStyle w:val="Compact"/>
            </w:pPr>
            <w:r>
              <w:t xml:space="preserve">Block 5: Cards over dessert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8:17-8:20</w:t>
            </w:r>
          </w:p>
        </w:tc>
        <w:tc>
          <w:tcPr/>
          <w:p>
            <w:pPr>
              <w:pStyle w:val="Compact"/>
            </w:pPr>
            <w:r>
              <w:t xml:space="preserve">Block 6: Pulse 3 framed and sent home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ea3c362cafc12a216e6ed73e3750d290a369848"/>
    <w:p>
      <w:pPr>
        <w:pStyle w:val="Heading2"/>
      </w:pPr>
      <w:r>
        <w:t xml:space="preserve">The homework handout (Session 16,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Complete the Quarterly Pulse (H16.1) — one page, three questions, five minutes at home — and bring it back to the return bin at next Wednesday’s door. And keep the rhythm: the card you built in Week 15 is still the assignment.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2026-09-09T17:07:38Z</dcterms:created>
  <dcterms:modified xsi:type="dcterms:W3CDTF">2026-09-09T17:07:38Z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