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8-the-return-ii"/>
    <w:p>
      <w:pPr>
        <w:pStyle w:val="Heading1"/>
      </w:pPr>
      <w:r>
        <w:t>Take-Home Sheet — Evening 14: The Return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>Continue the rhythm as built — no restart language needed this time; the returning rule covers whatever slipped. And a gentle, unaudited word to the parents: the Four Questions door (commissioned at Evening 11, willing-only always) is still open for any parent who has not yet found their moment.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>Keep the rhythm going. And start a list: who would you invite to the follow-up series? Names, not categories. Pray over the list before you ask anyone.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 “Two people I’d invite to the follow-up series are ________ and ________, because ________.” 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