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95cf74c31335a20ad5c2a367e0d5031a7b556e6"/>
    <w:p>
      <w:pPr>
        <w:pStyle w:val="Heading1"/>
      </w:pPr>
      <w:r>
        <w:t xml:space="preserve">Take-Home Sheet — Session 15: The Rhythm and the Four Questions</w:t>
      </w:r>
    </w:p>
    <w:p>
      <w:pPr>
        <w:pStyle w:val="FirstParagraph"/>
      </w:pPr>
      <w:r>
        <w:rPr>
          <w:b/>
          <w:bCs/>
        </w:rPr>
        <w:t xml:space="preserve">Two weeks on one sheet: the practices, the boxes, the check-in.</w:t>
      </w:r>
      <w:r>
        <w:t xml:space="preserve"> </w:t>
      </w:r>
      <w:r>
        <w:t xml:space="preserve">Evening</w:t>
      </w:r>
      <w:r>
        <w:t xml:space="preserve"> </w:t>
      </w:r>
      <w:r>
        <w:t xml:space="preserve">series at the Tittle home. Fridge, mirror, or notebook pocket.</w:t>
      </w:r>
    </w:p>
    <w:bookmarkStart w:id="9" w:name="the-practice-week-one"/>
    <w:p>
      <w:pPr>
        <w:pStyle w:val="Heading2"/>
      </w:pPr>
      <w:r>
        <w:t xml:space="preserve">1. The practice — week one</w:t>
      </w:r>
    </w:p>
    <w:p>
      <w:pPr>
        <w:pStyle w:val="FirstParagraph"/>
      </w:pPr>
      <w:r>
        <w:t xml:space="preserve">For the willing: the parent asks their teen the four questions at home — unhurried, no audience, phone away — and receives the answers without defending. Married parents are encouraged to also ask their spouse, separately. And everyone runs the Rhythm Card as built, for real, across the break, noting in the journal where it held and where it slipped.</w:t>
      </w:r>
    </w:p>
    <w:p>
      <w:pPr>
        <w:pStyle w:val="BodyText"/>
      </w:pPr>
      <w:r>
        <w:rPr>
          <w:b/>
          <w:bCs/>
        </w:rPr>
        <w:t xml:space="preserve">Week one:</w:t>
      </w:r>
      <w:r>
        <w:t xml:space="preserve"> </w:t>
      </w:r>
      <w:r>
        <w:t xml:space="preserve">☐ ☐ ☐ ☐ ☐ ☐ ☐</w:t>
      </w:r>
      <w:r>
        <w:t xml:space="preserve"> </w:t>
      </w:r>
      <w:r>
        <w:rPr>
          <w:i/>
          <w:iCs/>
        </w:rPr>
        <w:t xml:space="preserve">(one box per day; if the practice asks for fewer, check the days you did it)</w:t>
      </w:r>
    </w:p>
    <w:bookmarkEnd w:id="9"/>
    <w:bookmarkStart w:id="10" w:name="the-end-of-week-one-check-in"/>
    <w:p>
      <w:pPr>
        <w:pStyle w:val="Heading2"/>
      </w:pPr>
      <w:r>
        <w:t xml:space="preserve">2. The end-of-week-one check-in</w:t>
      </w:r>
    </w:p>
    <w:p>
      <w:pPr>
        <w:pStyle w:val="FirstParagraph"/>
      </w:pPr>
      <w:r>
        <w:t xml:space="preserve">My check-in partner this cycle is:</w:t>
      </w:r>
      <w:r>
        <w:t xml:space="preserve"> </w:t>
      </w:r>
      <w:r>
        <w:rPr>
          <w:b/>
          <w:bCs/>
        </w:rPr>
        <w:t xml:space="preserve">______________________</w:t>
      </w:r>
      <w:r>
        <w:t xml:space="preserve"> </w:t>
      </w:r>
      <w:r>
        <w:t xml:space="preserve">At the end of week one, connect and report how it’s going against the</w:t>
      </w:r>
      <w:r>
        <w:t xml:space="preserve"> </w:t>
      </w:r>
      <w:r>
        <w:t xml:space="preserve">practice. A text, a call, or a hallway conversation all count. You are not</w:t>
      </w:r>
      <w:r>
        <w:t xml:space="preserve"> </w:t>
      </w:r>
      <w:r>
        <w:t xml:space="preserve">grading each other; you are expecting each other.</w:t>
      </w:r>
      <w:r>
        <w:t xml:space="preserve"> </w:t>
      </w:r>
      <w:r>
        <w:rPr>
          <w:b/>
          <w:bCs/>
        </w:rPr>
        <w:t xml:space="preserve">Done:</w:t>
      </w:r>
      <w:r>
        <w:t xml:space="preserve"> </w:t>
      </w:r>
      <w:r>
        <w:t xml:space="preserve">☐</w:t>
      </w:r>
    </w:p>
    <w:bookmarkEnd w:id="10"/>
    <w:bookmarkStart w:id="11" w:name="the-practice-week-two"/>
    <w:p>
      <w:pPr>
        <w:pStyle w:val="Heading2"/>
      </w:pPr>
      <w:r>
        <w:t xml:space="preserve">3. The practice — week two</w:t>
      </w:r>
    </w:p>
    <w:p>
      <w:pPr>
        <w:pStyle w:val="FirstParagraph"/>
      </w:pPr>
      <w:r>
        <w:t xml:space="preserve">Continue or deepen the same practice, as the session specifies; journal what happens.</w:t>
      </w:r>
    </w:p>
    <w:p>
      <w:pPr>
        <w:pStyle w:val="BodyText"/>
      </w:pPr>
      <w:r>
        <w:rPr>
          <w:b/>
          <w:bCs/>
        </w:rPr>
        <w:t xml:space="preserve">Week two:</w:t>
      </w:r>
      <w:r>
        <w:t xml:space="preserve"> </w:t>
      </w:r>
      <w:r>
        <w:t xml:space="preserve">☐ ☐ ☐ ☐ ☐ ☐ ☐</w:t>
      </w:r>
    </w:p>
    <w:bookmarkEnd w:id="11"/>
    <w:bookmarkStart w:id="12" w:name="one-sentence-of-preparation"/>
    <w:p>
      <w:pPr>
        <w:pStyle w:val="Heading2"/>
      </w:pPr>
      <w:r>
        <w:t xml:space="preserve">4. One sentence of preparation</w:t>
      </w:r>
    </w:p>
    <w:p>
      <w:pPr>
        <w:pStyle w:val="FirstParagraph"/>
      </w:pPr>
      <w:r>
        <w:t xml:space="preserve">Set at commissioning from the session’s materials.</w:t>
      </w:r>
      <w:r>
        <w:t xml:space="preserve"> </w:t>
      </w:r>
      <w:r>
        <w:rPr>
          <w:b/>
          <w:bCs/>
        </w:rPr>
        <w:t xml:space="preserve">Done:</w:t>
      </w:r>
      <w:r>
        <w:t xml:space="preserve"> </w:t>
      </w:r>
      <w:r>
        <w:t xml:space="preserve">☐</w:t>
      </w:r>
    </w:p>
    <w:p>
      <w:r>
        <w:pict>
          <v:rect style="width:0;height:1.5pt" o:hralign="center" o:hrstd="t" o:hr="t"/>
        </w:pict>
      </w:r>
    </w:p>
    <w:p>
      <w:pPr>
        <w:pStyle w:val="FirstParagraph"/>
      </w:pPr>
      <w:r>
        <w:rPr>
          <w:i/>
          <w:iCs/>
        </w:rPr>
        <w:t xml:space="preserve">A missed box is never a failure — it is an invitation to return.</w:t>
      </w:r>
    </w:p>
    <w:p>
      <w:pPr>
        <w:pStyle w:val="BodyText"/>
      </w:pPr>
      <w:r>
        <w:rPr>
          <w:b/>
          <w:bCs/>
        </w:rPr>
        <w:t xml:space="preserve">The journal’s standing closer, every week:</w:t>
      </w:r>
      <w:r>
        <w:t xml:space="preserve"> </w:t>
      </w:r>
      <w:r>
        <w:rPr>
          <w:i/>
          <w:iCs/>
        </w:rPr>
        <w:t xml:space="preserve">if I were to teach this</w:t>
      </w:r>
      <w:r>
        <w:rPr>
          <w:i/>
          <w:iCs/>
        </w:rPr>
        <w:t xml:space="preserve"> </w:t>
      </w:r>
      <w:r>
        <w:rPr>
          <w:i/>
          <w:iCs/>
        </w:rPr>
        <w:t xml:space="preserve">practice to someone, what would I tell them?</w:t>
      </w:r>
    </w:p>
    <w:p>
      <w:pPr>
        <w:pStyle w:val="BodyText"/>
      </w:pPr>
      <w:r>
        <w:rPr>
          <w:b/>
          <w:bCs/>
        </w:rPr>
        <w:t xml:space="preserve">Next evening:</w:t>
      </w:r>
      <w:r>
        <w:t xml:space="preserve"> </w:t>
      </w:r>
      <w:r>
        <w:t xml:space="preserve">____________ (Mon/Tue of the week of ____________), dinner</w:t>
      </w:r>
      <w:r>
        <w:t xml:space="preserve"> </w:t>
      </w:r>
      <w:r>
        <w:t xml:space="preserve">at 6:00, session at 7:00.</w:t>
      </w:r>
    </w:p>
    <w:p>
      <w:pPr>
        <w:pStyle w:val="BodyText"/>
      </w:pPr>
      <w:r>
        <w:rPr>
          <w:b/>
          <w:bCs/>
        </w:rPr>
        <w:t xml:space="preserve">The door out:</w:t>
      </w:r>
      <w:r>
        <w:t xml:space="preserve"> </w:t>
      </w:r>
      <w:r>
        <w:t xml:space="preserve">if anything from this work needs an adult outside the</w:t>
      </w:r>
      <w:r>
        <w:t xml:space="preserve"> </w:t>
      </w:r>
      <w:r>
        <w:t xml:space="preserve">leading team, that person is</w:t>
      </w:r>
      <w:r>
        <w:t xml:space="preserve"> </w:t>
      </w:r>
      <w:r>
        <w:rPr>
          <w:b/>
          <w:bCs/>
        </w:rPr>
        <w:t xml:space="preserve">Pastor Bobby Gore, (831) 277-9878</w:t>
      </w:r>
      <w:r>
        <w:t xml:space="preserve">, and</w:t>
      </w:r>
      <w:r>
        <w:t xml:space="preserve"> </w:t>
      </w:r>
      <w:r>
        <w:t xml:space="preserve">going to them is always the right move.</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2026-09-09T18:57:09Z</dcterms:created>
  <dcterms:modified xsi:type="dcterms:W3CDTF">2026-09-09T18:57:09Z</dcterms:modified>
</cp:coreProperties>
</file>

<file path=docProps/custom.xml><?xml version="1.0" encoding="utf-8"?>
<Properties xmlns="http://schemas.openxmlformats.org/officeDocument/2006/custom-properties" xmlns:vt="http://schemas.openxmlformats.org/officeDocument/2006/docPropsVTypes"/>
</file>