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c36cd5ec10bfc0929ea18c6d05f15dfd52542c"/>
    <w:p>
      <w:pPr>
        <w:pStyle w:val="Heading1"/>
      </w:pPr>
      <w:r>
        <w:t xml:space="preserve">Take-Home Sheet — Session 21: Sending and Blessing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t xml:space="preserve">Evening</w:t>
      </w:r>
      <w:r>
        <w:t xml:space="preserve"> </w:t>
      </w:r>
      <w:r>
        <w:t xml:space="preserve">series at the Tittle home. Fridge, mirror, or notebook pocket.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Daily / Weekly / Monthly Rhythm Card is now the long-term practice. Sustain through the interlude until Going Deeper begins.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t xml:space="preserve">At the end of week one, connect and report how it’s going against the</w:t>
      </w:r>
      <w:r>
        <w:t xml:space="preserve"> </w:t>
      </w:r>
      <w:r>
        <w:t xml:space="preserve">practice. A text, a call, or a hallway conversation all count. You are not</w:t>
      </w:r>
      <w:r>
        <w:t xml:space="preserve"> </w:t>
      </w:r>
      <w:r>
        <w:t xml:space="preserve">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2026-09-09T18:57:10Z</dcterms:created>
  <dcterms:modified xsi:type="dcterms:W3CDTF">2026-09-09T18:57:10Z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