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1ba173fec7005c31716dfe9cad58322e9c7713"/>
    <w:p>
      <w:pPr>
        <w:pStyle w:val="Heading1"/>
      </w:pPr>
      <w:r>
        <w:t xml:space="preserve">Take-Home Sheet — Session 7: Hearing God in Scripture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 xml:space="preserve">PROAPT one short passage per day for the next week. The Personal Heart Journal Week 7–8 pages have a daily PROAPT template.</w:t>
      </w:r>
      <w:r>
        <w:t xml:space="preserve"> The second page with this sheet, </w:t>
      </w:r>
      <w:r>
        <w:rPr>
          <w:i/>
        </w:rPr>
        <w:t>PROAPT, What Each Step Is For</w:t>
      </w:r>
      <w:r>
        <w:t>, explains each step and why the order matters. One box per day.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>what happens. One box per day.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2"/>
    <w:bookmarkEnd w:id="13"/>
    <w:sectPr>
      <w:footnotePr>
        <w:numRestart w:val="eachSect"/>
      </w:footnotePr>
      <w:pgMar w:top="864" w:bottom="864" w:left="1224" w:right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