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3108a5db98594cb727bdcf2e2280238e3e91ad"/>
    <w:p>
      <w:pPr>
        <w:pStyle w:val="Heading1"/>
      </w:pPr>
      <w:r>
        <w:t xml:space="preserve">Take-Home Sheet — Session 5: Knowing and Being Known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rPr>
          <w:b w:val="0"/>
          <w:i w:val="0"/>
        </w:rPr>
        <w:t xml:space="preserve">Pick one relationship where you’d like a little more of one condition — a friend, a sibling, a parent, a teammate. It doesn’t have to be your closest. Pick one of the four conditions (Safe, Present, Clear, Intentional) and practice </w:t>
      </w:r>
      <w:r>
        <w:rPr>
          <w:b w:val="0"/>
          <w:i/>
        </w:rPr>
        <w:t>offering</w:t>
      </w:r>
      <w:r>
        <w:rPr>
          <w:b w:val="0"/>
          <w:i w:val="0"/>
        </w:rPr>
        <w:t xml:space="preserve"> it there, a little more than usual. You are practicing what you give, not testing them: how they respond is not a grade on you. Journal what you notice.</w:t>
      </w:r>
    </w:p>
    <w:p>
      <w:pPr>
        <w:pStyle w:val="FirstParagraph"/>
      </w:pPr>
      <w:r>
        <w:rPr>
          <w:b/>
          <w:i w:val="0"/>
        </w:rPr>
        <w:t xml:space="preserve">If this stirs something hard. </w:t>
      </w:r>
      <w:r>
        <w:rPr>
          <w:b w:val="0"/>
          <w:i/>
        </w:rPr>
        <w:t>Looking at friendships can bring up loneliness, a friendship that has hurt you, or one that has faded. That is real, and it is worth noticing — not fixing this week. You can choose an easier relationship, or set the practice down for a few days. And tell someone you trust: your check-in partner, a parent, or one of the leaders. You are not meant to carry the heavy things alone.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rPr>
          <w:b w:val="0"/>
          <w:i w:val="0"/>
        </w:rPr>
        <w:t>Same relationship — or a different one, if the first was too heavy. A second condition, or the same one deeper if the first week opened something. Journal what you notice.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rPr>
          <w:b w:val="0"/>
          <w:i w:val="0"/>
        </w:rPr>
        <w:t xml:space="preserve">Before we meet, finish this sentence in your journal: “Someone who has made me feel safe is ________, and what they did was ________.” </w:t>
      </w:r>
      <w:r>
        <w:rPr>
          <w:b/>
          <w:i w:val="0"/>
        </w:rPr>
        <w:t xml:space="preserve">Done: </w:t>
      </w:r>
      <w:r>
        <w:rPr>
          <w:b w:val="0"/>
          <w:i w:val="0"/>
        </w:rPr>
        <w:t>☐</w:t>
      </w:r>
    </w:p>
    <w:bookmarkEnd w:id="12"/>
    <w:bookmarkEnd w:id="13"/>
    <w:sectPr>
      <w:footnotePr>
        <w:numRestart w:val="eachSect"/>
      </w:footnotePr>
      <w:pgMar w:top="864" w:bottom="864" w:left="1224" w:right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