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20-the-long-walk"/>
    <w:p>
      <w:pPr>
        <w:pStyle w:val="Heading1"/>
      </w:pPr>
      <w:r>
        <w:t xml:space="preserve">Take-Home Sheet — Session 20: The Long Walk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