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11-evening-form-any-doubts"/>
    <w:p>
      <w:pPr>
        <w:pStyle w:val="Heading1"/>
      </w:pPr>
      <w:r>
        <w:t xml:space="preserve">Session 11, Evening Form — ANY DOUBTS?</w:t>
      </w:r>
    </w:p>
    <w:p>
      <w:pPr>
        <w:pStyle w:val="FirstParagraph"/>
      </w:pPr>
      <w:r>
        <w:rPr>
          <w:b/>
          <w:bCs/>
        </w:rPr>
        <w:t xml:space="preserve">AUTO-ADAPTED DRAFT from</w:t>
      </w:r>
      <w:r>
        <w:rPr>
          <w:b/>
          <w:bCs/>
        </w:rPr>
        <w:t xml:space="preserve"> </w:t>
      </w:r>
      <w:r>
        <w:rPr>
          <w:rStyle w:val="VerbatimChar"/>
          <w:b/>
          <w:bCs/>
        </w:rPr>
        <w:t xml:space="preserve">docs/getting-started/week-11-doubts.md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Practice naming the doubts and questions we usually do not say out loud, and bringing them honestly to God. The naming is the practice; the resolution is the Spirit’s work.</w:t>
      </w:r>
    </w:p>
    <w:p>
      <w:pPr>
        <w:pStyle w:val="BodyText"/>
      </w:pPr>
      <w:r>
        <w:rPr>
          <w:b/>
          <w:bCs/>
        </w:rPr>
        <w:t xml:space="preserve">Anchor.</w:t>
      </w:r>
      <w:r>
        <w:t xml:space="preserve"> </w:t>
      </w:r>
      <w:r>
        <w:t xml:space="preserve">Mark 9:24 — “I believe; help my unbelief!”</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7:25-7:33</w:t>
            </w:r>
          </w:p>
        </w:tc>
        <w:tc>
          <w:tcPr/>
          <w:p>
            <w:pPr>
              <w:pStyle w:val="Compact"/>
            </w:pPr>
            <w:r>
              <w:t xml:space="preserve">Block 3: Mark 9:14–29 — the scripture ground</w:t>
            </w:r>
          </w:p>
        </w:tc>
        <w:tc>
          <w:tcPr/>
          <w:p>
            <w:pPr>
              <w:pStyle w:val="Compact"/>
            </w:pPr>
            <w:r>
              <w:t xml:space="preserve">Content presenter; container holder watching the room</w:t>
            </w:r>
          </w:p>
        </w:tc>
      </w:tr>
      <w:tr>
        <w:tc>
          <w:tcPr/>
          <w:p>
            <w:pPr>
              <w:pStyle w:val="Compact"/>
            </w:pPr>
            <w:r>
              <w:t xml:space="preserve">7:33-7:41</w:t>
            </w:r>
          </w:p>
        </w:tc>
        <w:tc>
          <w:tcPr/>
          <w:p>
            <w:pPr>
              <w:pStyle w:val="Compact"/>
            </w:pPr>
            <w:r>
              <w:t xml:space="preserve">Block 4: The Any Doubts? practice — teaching</w:t>
            </w:r>
          </w:p>
        </w:tc>
        <w:tc>
          <w:tcPr/>
          <w:p>
            <w:pPr>
              <w:pStyle w:val="Compact"/>
            </w:pPr>
            <w:r>
              <w:t xml:space="preserve">Content presenter; container holder watching the room</w:t>
            </w:r>
          </w:p>
        </w:tc>
      </w:tr>
      <w:tr>
        <w:tc>
          <w:tcPr/>
          <w:p>
            <w:pPr>
              <w:pStyle w:val="Compact"/>
            </w:pPr>
            <w:r>
              <w:t xml:space="preserve">7:41-7:43</w:t>
            </w:r>
          </w:p>
        </w:tc>
        <w:tc>
          <w:tcPr/>
          <w:p>
            <w:pPr>
              <w:pStyle w:val="Compact"/>
            </w:pPr>
            <w:r>
              <w:t xml:space="preserve">Block 5: Bridge to split</w:t>
            </w:r>
          </w:p>
        </w:tc>
        <w:tc>
          <w:tcPr/>
          <w:p>
            <w:pPr>
              <w:pStyle w:val="Compact"/>
            </w:pPr>
            <w:r>
              <w:t xml:space="preserve">Content presenter; container holder watching the room</w:t>
            </w:r>
          </w:p>
        </w:tc>
      </w:tr>
      <w:tr>
        <w:tc>
          <w:tcPr/>
          <w:p>
            <w:pPr>
              <w:pStyle w:val="Compact"/>
            </w:pPr>
            <w:r>
              <w:t xml:space="preserve">7:43-8:14</w:t>
            </w:r>
          </w:p>
        </w:tc>
        <w:tc>
          <w:tcPr/>
          <w:p>
            <w:pPr>
              <w:pStyle w:val="Compact"/>
            </w:pPr>
            <w:r>
              <w:t xml:space="preserve">Block 6: Any Doubts? in pairs within families</w:t>
            </w:r>
          </w:p>
        </w:tc>
        <w:tc>
          <w:tcPr/>
          <w:p>
            <w:pPr>
              <w:pStyle w:val="Compact"/>
            </w:pPr>
            <w:r>
              <w:t xml:space="preserve">Content presenter; container holder watching the room</w:t>
            </w:r>
          </w:p>
        </w:tc>
      </w:tr>
      <w:tr>
        <w:tc>
          <w:tcPr/>
          <w:p>
            <w:pPr>
              <w:pStyle w:val="Compact"/>
            </w:pPr>
            <w:r>
              <w:t xml:space="preserve">8:14-8:20</w:t>
            </w:r>
          </w:p>
        </w:tc>
        <w:tc>
          <w:tcPr/>
          <w:p>
            <w:pPr>
              <w:pStyle w:val="Compact"/>
            </w:pPr>
            <w:r>
              <w:t xml:space="preserve">Block 7: Merge and surface</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2486fc1ce7bbee325a85904fc793decde6383d6"/>
    <w:p>
      <w:pPr>
        <w:pStyle w:val="Heading2"/>
      </w:pPr>
      <w:r>
        <w:t xml:space="preserve">The homework handout (Session 11, two weeks)</w:t>
      </w:r>
    </w:p>
    <w:p>
      <w:pPr>
        <w:pStyle w:val="Compact"/>
        <w:numPr>
          <w:ilvl w:val="0"/>
          <w:numId w:val="1001"/>
        </w:numPr>
      </w:pPr>
      <w:r>
        <w:rPr>
          <w:b/>
          <w:bCs/>
        </w:rPr>
        <w:t>The homework practice, week one.</w:t>
      </w:r>
      <w:r>
        <w:t xml:space="preserve"> </w:t>
      </w:r>
      <w:r>
        <w:t xml:space="preserve">Personal Doubts Inventory — one page in the journal listing scriptures I want to believe more than I currently do. No shame. Just data. Over the quarter break, one chosen daily practice carries the rhythm. And the Quarterly Pulse (H11.4) goes home tonight — one page, five minutes, back in the bin at The Return’s door in January.</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11 stands in the third box — Connect with God — at the year's midpoint.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