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2-evening-form-the-return"/>
    <w:p>
      <w:pPr>
        <w:pStyle w:val="Heading1"/>
      </w:pPr>
      <w:r>
        <w:t xml:space="preserve">Session 12, Evening Form — THE RETURN</w:t>
      </w:r>
    </w:p>
    <w:p>
      <w:pPr>
        <w:pStyle w:val="FirstParagraph"/>
      </w:pPr>
      <w:r>
        <w:rPr>
          <w:b/>
          <w:bCs/>
        </w:rPr>
        <w:t xml:space="preserve">AUTO-ADAPTED DRAFT from</w:t>
      </w:r>
      <w:r>
        <w:rPr>
          <w:b/>
          <w:bCs/>
        </w:rPr>
        <w:t xml:space="preserve"> </w:t>
      </w:r>
      <w:r>
        <w:rPr>
          <w:rStyle w:val="VerbatimChar"/>
          <w:b/>
          <w:bCs/>
        </w:rPr>
        <w:t xml:space="preserve">docs/getting-started/week-12-return.md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Full re-entry after the Christmas break. Every break is a natural test of whether the practices survived without the container holding them — tonight rebuilds the room, reads without shame what held and what slipped, welcomes back anyone who drifted, and re-anchors the cohort in the year’s map. Slips are data, not failure. The door is the whole point.</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7:25-7:34</w:t>
            </w:r>
          </w:p>
        </w:tc>
        <w:tc>
          <w:tcPr/>
          <w:p>
            <w:pPr>
              <w:pStyle w:val="Compact"/>
            </w:pPr>
            <w:r>
              <w:t xml:space="preserve">Block 2: New every morning — Lam. 3:22–23, Ps. 126</w:t>
            </w:r>
          </w:p>
        </w:tc>
        <w:tc>
          <w:tcPr/>
          <w:p>
            <w:pPr>
              <w:pStyle w:val="Compact"/>
            </w:pPr>
            <w:r>
              <w:t xml:space="preserve">Content presenter; container holder watching the room</w:t>
            </w:r>
          </w:p>
        </w:tc>
      </w:tr>
      <w:tr>
        <w:tc>
          <w:tcPr/>
          <w:p>
            <w:pPr>
              <w:pStyle w:val="Compact"/>
            </w:pPr>
            <w:r>
              <w:t xml:space="preserve">7:34-7:57</w:t>
            </w:r>
          </w:p>
        </w:tc>
        <w:tc>
          <w:tcPr/>
          <w:p>
            <w:pPr>
              <w:pStyle w:val="Compact"/>
            </w:pPr>
            <w:r>
              <w:t xml:space="preserve">Block 3: “What held?”</w:t>
            </w:r>
          </w:p>
        </w:tc>
        <w:tc>
          <w:tcPr/>
          <w:p>
            <w:pPr>
              <w:pStyle w:val="Compact"/>
            </w:pPr>
            <w:r>
              <w:t xml:space="preserve">Content presenter; container holder watching the room</w:t>
            </w:r>
          </w:p>
        </w:tc>
      </w:tr>
      <w:tr>
        <w:tc>
          <w:tcPr/>
          <w:p>
            <w:pPr>
              <w:pStyle w:val="Compact"/>
            </w:pPr>
            <w:r>
              <w:t xml:space="preserve">7:57-8:15</w:t>
            </w:r>
          </w:p>
        </w:tc>
        <w:tc>
          <w:tcPr/>
          <w:p>
            <w:pPr>
              <w:pStyle w:val="Compact"/>
            </w:pPr>
            <w:r>
              <w:t xml:space="preserve">Block 4: The walk home</w:t>
            </w:r>
          </w:p>
        </w:tc>
        <w:tc>
          <w:tcPr/>
          <w:p>
            <w:pPr>
              <w:pStyle w:val="Compact"/>
            </w:pPr>
            <w:r>
              <w:t xml:space="preserve">Content presenter; container holder watching the room</w:t>
            </w:r>
          </w:p>
        </w:tc>
      </w:tr>
      <w:tr>
        <w:tc>
          <w:tcPr/>
          <w:p>
            <w:pPr>
              <w:pStyle w:val="Compact"/>
            </w:pPr>
            <w:r>
              <w:t xml:space="preserve">8:15-8:20</w:t>
            </w:r>
          </w:p>
        </w:tc>
        <w:tc>
          <w:tcPr/>
          <w:p>
            <w:pPr>
              <w:pStyle w:val="Compact"/>
            </w:pPr>
            <w:r>
              <w:t xml:space="preserve">Block 5: Re-anchoring the year — and the door out, once</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b37110b1c91d97cdc92283490a6efde99c04fae"/>
    <w:p>
      <w:pPr>
        <w:pStyle w:val="Heading2"/>
      </w:pPr>
      <w:r>
        <w:t xml:space="preserve">The homework handout (Session 12, two weeks)</w:t>
      </w:r>
    </w:p>
    <w:p>
      <w:pPr>
        <w:pStyle w:val="Compact"/>
        <w:numPr>
          <w:ilvl w:val="0"/>
          <w:numId w:val="1001"/>
        </w:numPr>
      </w:pPr>
      <w:r>
        <w:rPr>
          <w:b/>
          <w:bCs/>
        </w:rPr>
        <w:t>The homework practice, week one.</w:t>
      </w:r>
      <w:r>
        <w:t xml:space="preserve"> </w:t>
      </w:r>
      <w:r>
        <w:t xml:space="preserve">Restart (or continue) one daily practice — just one — chosen tonight and written in the journal. Not the whole rhythm. One.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12 returns to the whole map — all four Connects, rebuilt after the break.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