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ssion-20-evening-form-the-long-walk"/>
    <w:p>
      <w:pPr>
        <w:pStyle w:val="Heading1"/>
      </w:pPr>
      <w:r>
        <w:t xml:space="preserve">Session 20, Evening Form — THE LONG WALK</w:t>
      </w:r>
    </w:p>
    <w:p>
      <w:pPr>
        <w:pStyle w:val="FirstParagraph"/>
      </w:pPr>
      <w:r>
        <w:rPr>
          <w:b/>
          <w:bCs/>
        </w:rPr>
        <w:t xml:space="preserve">AUTO-ADAPTED DRAFT from</w:t>
      </w:r>
      <w:r>
        <w:rPr>
          <w:b/>
          <w:bCs/>
        </w:rPr>
        <w:t xml:space="preserve"> </w:t>
      </w:r>
      <w:r>
        <w:rPr>
          <w:rStyle w:val="VerbatimChar"/>
          <w:b/>
          <w:bCs/>
        </w:rPr>
        <w:t xml:space="preserve">docs/getting-started/week-20-long-walk.md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Consolidate the year at the threshold of the sending. Three movements: the Companions-in-Formation teach the Signs Card and the Path Home Card to the whole room — their final rep before the Week 22 commissioning; the room walks back through its own year, journal in hand; and one-sentence testimonies are gathered, with real consent, for the two commissioning evenings. The Post-Series Survey goes home at the close.</w:t>
      </w:r>
    </w:p>
    <w:p>
      <w:pPr>
        <w:pStyle w:val="BodyText"/>
      </w:pPr>
      <w:r>
        <w:rPr>
          <w:b/>
          <w:bCs/>
        </w:rPr>
        <w:t xml:space="preserve">Anchor.</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7:25-7:31</w:t>
            </w:r>
          </w:p>
        </w:tc>
        <w:tc>
          <w:tcPr/>
          <w:p>
            <w:pPr>
              <w:pStyle w:val="Compact"/>
            </w:pPr>
            <w:r>
              <w:t xml:space="preserve">Block 2: Why tonight — Isaiah 50:10</w:t>
            </w:r>
          </w:p>
        </w:tc>
        <w:tc>
          <w:tcPr/>
          <w:p>
            <w:pPr>
              <w:pStyle w:val="Compact"/>
            </w:pPr>
            <w:r>
              <w:t xml:space="preserve">Content presenter; container holder watching the room</w:t>
            </w:r>
          </w:p>
        </w:tc>
      </w:tr>
      <w:tr>
        <w:tc>
          <w:tcPr/>
          <w:p>
            <w:pPr>
              <w:pStyle w:val="Compact"/>
            </w:pPr>
            <w:r>
              <w:t xml:space="preserve">7:31-7:46</w:t>
            </w:r>
          </w:p>
        </w:tc>
        <w:tc>
          <w:tcPr/>
          <w:p>
            <w:pPr>
              <w:pStyle w:val="Compact"/>
            </w:pPr>
            <w:r>
              <w:t xml:space="preserve">Block 3: The Signs Card — taught by a CiF</w:t>
            </w:r>
          </w:p>
        </w:tc>
        <w:tc>
          <w:tcPr/>
          <w:p>
            <w:pPr>
              <w:pStyle w:val="Compact"/>
            </w:pPr>
            <w:r>
              <w:t xml:space="preserve">Content presenter; container holder watching the room</w:t>
            </w:r>
          </w:p>
        </w:tc>
      </w:tr>
      <w:tr>
        <w:tc>
          <w:tcPr/>
          <w:p>
            <w:pPr>
              <w:pStyle w:val="Compact"/>
            </w:pPr>
            <w:r>
              <w:t xml:space="preserve">7:46-7:55</w:t>
            </w:r>
          </w:p>
        </w:tc>
        <w:tc>
          <w:tcPr/>
          <w:p>
            <w:pPr>
              <w:pStyle w:val="Compact"/>
            </w:pPr>
            <w:r>
              <w:t xml:space="preserve">Block 4: The Path Home Card — taught by a CiF</w:t>
            </w:r>
          </w:p>
        </w:tc>
        <w:tc>
          <w:tcPr/>
          <w:p>
            <w:pPr>
              <w:pStyle w:val="Compact"/>
            </w:pPr>
            <w:r>
              <w:t xml:space="preserve">Content presenter; container holder watching the room</w:t>
            </w:r>
          </w:p>
        </w:tc>
      </w:tr>
      <w:tr>
        <w:tc>
          <w:tcPr/>
          <w:p>
            <w:pPr>
              <w:pStyle w:val="Compact"/>
            </w:pPr>
            <w:r>
              <w:t xml:space="preserve">7:55-8:08</w:t>
            </w:r>
          </w:p>
        </w:tc>
        <w:tc>
          <w:tcPr/>
          <w:p>
            <w:pPr>
              <w:pStyle w:val="Compact"/>
            </w:pPr>
            <w:r>
              <w:t xml:space="preserve">Block 5: The journal arc review</w:t>
            </w:r>
          </w:p>
        </w:tc>
        <w:tc>
          <w:tcPr/>
          <w:p>
            <w:pPr>
              <w:pStyle w:val="Compact"/>
            </w:pPr>
            <w:r>
              <w:t xml:space="preserve">Content presenter; container holder watching the room</w:t>
            </w:r>
          </w:p>
        </w:tc>
      </w:tr>
      <w:tr>
        <w:tc>
          <w:tcPr/>
          <w:p>
            <w:pPr>
              <w:pStyle w:val="Compact"/>
            </w:pPr>
            <w:r>
              <w:t xml:space="preserve">8:08-8:18</w:t>
            </w:r>
          </w:p>
        </w:tc>
        <w:tc>
          <w:tcPr/>
          <w:p>
            <w:pPr>
              <w:pStyle w:val="Compact"/>
            </w:pPr>
            <w:r>
              <w:t xml:space="preserve">Block 6: One sentence, and the testimony gathering</w:t>
            </w:r>
          </w:p>
        </w:tc>
        <w:tc>
          <w:tcPr/>
          <w:p>
            <w:pPr>
              <w:pStyle w:val="Compact"/>
            </w:pPr>
            <w:r>
              <w:t xml:space="preserve">Content presenter; container holder watching the room</w:t>
            </w:r>
          </w:p>
        </w:tc>
      </w:tr>
      <w:tr>
        <w:tc>
          <w:tcPr/>
          <w:p>
            <w:pPr>
              <w:pStyle w:val="Compact"/>
            </w:pPr>
            <w:r>
              <w:t xml:space="preserve">8:18-8:20</w:t>
            </w:r>
          </w:p>
        </w:tc>
        <w:tc>
          <w:tcPr/>
          <w:p>
            <w:pPr>
              <w:pStyle w:val="Compact"/>
            </w:pPr>
            <w:r>
              <w:t xml:space="preserve">Block 7: The Post-Series Survey</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04b64c3e8b28e8abe274b9b030b879a1a9e314b"/>
    <w:p>
      <w:pPr>
        <w:pStyle w:val="Heading2"/>
      </w:pPr>
      <w:r>
        <w:t xml:space="preserve">The homework handout (Session 20, two weeks)</w:t>
      </w:r>
    </w:p>
    <w:p>
      <w:pPr>
        <w:pStyle w:val="Compact"/>
        <w:numPr>
          <w:ilvl w:val="0"/>
          <w:numId w:val="1001"/>
        </w:numPr>
      </w:pPr>
      <w:r>
        <w:rPr>
          <w:b/>
          <w:bCs/>
        </w:rPr>
        <w:t>The homework practice, week one.</w:t>
      </w:r>
      <w:r>
        <w:t xml:space="preserve"> </w:t>
      </w:r>
      <w:r>
        <w:t xml:space="preserve">Complete the Post-Series Survey (H20.1) — back in the bin at the Week 21 door. And one small errand that is really a teaching: find both mercy cards at home — the Signs Card and the Path Home Card — and show one other family member where they live.</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20 walks the whole map — all four Connects, consolidated for the road.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2026-09-09T17:07:39Z</dcterms:created>
  <dcterms:modified xsi:type="dcterms:W3CDTF">2026-09-09T17:07:39Z</dcterms:modified>
</cp:coreProperties>
</file>

<file path=docProps/custom.xml><?xml version="1.0" encoding="utf-8"?>
<Properties xmlns="http://schemas.openxmlformats.org/officeDocument/2006/custom-properties" xmlns:vt="http://schemas.openxmlformats.org/officeDocument/2006/docPropsVTypes"/>
</file>