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9f39a3116bda27c552b41d7ed47f5c37bd705af"/>
    <w:p>
      <w:pPr>
        <w:pStyle w:val="Heading1"/>
      </w:pPr>
      <w:r>
        <w:t xml:space="preserve">Session 22, Evening Form — COMMISSIONING THE COMPANIONS</w:t>
      </w:r>
    </w:p>
    <w:p>
      <w:pPr>
        <w:pStyle w:val="FirstParagraph"/>
      </w:pPr>
      <w:r>
        <w:rPr>
          <w:b/>
          <w:bCs/>
        </w:rPr>
        <w:t xml:space="preserve">AUTO-ADAPTED DRAFT from</w:t>
      </w:r>
      <w:r>
        <w:rPr>
          <w:b/>
          <w:bCs/>
        </w:rPr>
        <w:t xml:space="preserve"> </w:t>
      </w:r>
      <w:r>
        <w:rPr>
          <w:rStyle w:val="VerbatimChar"/>
          <w:b/>
          <w:bCs/>
        </w:rPr>
        <w:t xml:space="preserve">docs/getting-started/week-22-commissioning.md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The Companions-in-Formation are commissioned as FC1 — Formation Companion, Level One. Not a ceremony appended to the series close: an exit gate run as a witnessed rite. Four movements: the final rep (the container opened and closed from memory, publicly); the three rules read aloud to the whole room; the covering named; the commissioning — with the first Leader Lab of the spring serving cycle scheduled before anyone leaves. The seniors leave this room having</w:t>
      </w:r>
      <w:r>
        <w:t xml:space="preserve"> </w:t>
      </w:r>
      <w:r>
        <w:rPr>
          <w:i/>
          <w:iCs/>
        </w:rPr>
        <w:t xml:space="preserve">begun</w:t>
      </w:r>
      <w:r>
        <w:t xml:space="preserve">, not merely finished.</w:t>
      </w:r>
    </w:p>
    <w:p>
      <w:pPr>
        <w:pStyle w:val="BodyText"/>
      </w:pPr>
      <w:r>
        <w:rPr>
          <w:b/>
          <w:bCs/>
        </w:rPr>
        <w:t xml:space="preserve">Anchor.</w:t>
      </w:r>
      <w:r>
        <w:t xml:space="preserve"> </w:t>
      </w:r>
      <w:r>
        <w:t xml:space="preserve">2 Timothy 2:2 (</w:t>
      </w:r>
      <w:r>
        <w:t xml:space="preserve">“what you have heard from me in the presence of many witnesses entrust to faithful men, who will be able to teach others also”</w:t>
      </w:r>
      <w:r>
        <w:t xml:space="preserve">) and 1 Timothy 4:12 (</w:t>
      </w:r>
      <w:r>
        <w:t xml:space="preserve">“Let no one despise you for your youth, but set the believers an example…”</w:t>
      </w:r>
      <w:r>
        <w:t xml:space="preserve">).</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7:25-7:35</w:t>
            </w:r>
          </w:p>
        </w:tc>
        <w:tc>
          <w:tcPr/>
          <w:p>
            <w:pPr>
              <w:pStyle w:val="Compact"/>
            </w:pPr>
            <w:r>
              <w:t xml:space="preserve">Block 2: The final rep — the container opened</w:t>
            </w:r>
          </w:p>
        </w:tc>
        <w:tc>
          <w:tcPr/>
          <w:p>
            <w:pPr>
              <w:pStyle w:val="Compact"/>
            </w:pPr>
            <w:r>
              <w:t xml:space="preserve">Content presenter; container holder watching the room</w:t>
            </w:r>
          </w:p>
        </w:tc>
      </w:tr>
      <w:tr>
        <w:tc>
          <w:tcPr/>
          <w:p>
            <w:pPr>
              <w:pStyle w:val="Compact"/>
            </w:pPr>
            <w:r>
              <w:t xml:space="preserve">7:35-7:41</w:t>
            </w:r>
          </w:p>
        </w:tc>
        <w:tc>
          <w:tcPr/>
          <w:p>
            <w:pPr>
              <w:pStyle w:val="Compact"/>
            </w:pPr>
            <w:r>
              <w:t xml:space="preserve">Block 3: The word over the night</w:t>
            </w:r>
          </w:p>
        </w:tc>
        <w:tc>
          <w:tcPr/>
          <w:p>
            <w:pPr>
              <w:pStyle w:val="Compact"/>
            </w:pPr>
            <w:r>
              <w:t xml:space="preserve">Content presenter; container holder watching the room</w:t>
            </w:r>
          </w:p>
        </w:tc>
      </w:tr>
      <w:tr>
        <w:tc>
          <w:tcPr/>
          <w:p>
            <w:pPr>
              <w:pStyle w:val="Compact"/>
            </w:pPr>
            <w:r>
              <w:t xml:space="preserve">7:41-7:47</w:t>
            </w:r>
          </w:p>
        </w:tc>
        <w:tc>
          <w:tcPr/>
          <w:p>
            <w:pPr>
              <w:pStyle w:val="Compact"/>
            </w:pPr>
            <w:r>
              <w:t xml:space="preserve">Block 4: The three rules read aloud</w:t>
            </w:r>
          </w:p>
        </w:tc>
        <w:tc>
          <w:tcPr/>
          <w:p>
            <w:pPr>
              <w:pStyle w:val="Compact"/>
            </w:pPr>
            <w:r>
              <w:t xml:space="preserve">Content presenter; container holder watching the room</w:t>
            </w:r>
          </w:p>
        </w:tc>
      </w:tr>
      <w:tr>
        <w:tc>
          <w:tcPr/>
          <w:p>
            <w:pPr>
              <w:pStyle w:val="Compact"/>
            </w:pPr>
            <w:r>
              <w:t xml:space="preserve">7:47-7:54</w:t>
            </w:r>
          </w:p>
        </w:tc>
        <w:tc>
          <w:tcPr/>
          <w:p>
            <w:pPr>
              <w:pStyle w:val="Compact"/>
            </w:pPr>
            <w:r>
              <w:t xml:space="preserve">Block 5: The covering named</w:t>
            </w:r>
          </w:p>
        </w:tc>
        <w:tc>
          <w:tcPr/>
          <w:p>
            <w:pPr>
              <w:pStyle w:val="Compact"/>
            </w:pPr>
            <w:r>
              <w:t xml:space="preserve">Content presenter; container holder watching the room</w:t>
            </w:r>
          </w:p>
        </w:tc>
      </w:tr>
      <w:tr>
        <w:tc>
          <w:tcPr/>
          <w:p>
            <w:pPr>
              <w:pStyle w:val="Compact"/>
            </w:pPr>
            <w:r>
              <w:t xml:space="preserve">7:54-8:10</w:t>
            </w:r>
          </w:p>
        </w:tc>
        <w:tc>
          <w:tcPr/>
          <w:p>
            <w:pPr>
              <w:pStyle w:val="Compact"/>
            </w:pPr>
            <w:r>
              <w:t xml:space="preserve">Block 6: The commissioning</w:t>
            </w:r>
          </w:p>
        </w:tc>
        <w:tc>
          <w:tcPr/>
          <w:p>
            <w:pPr>
              <w:pStyle w:val="Compact"/>
            </w:pPr>
            <w:r>
              <w:t xml:space="preserve">Content presenter; container holder watching the room</w:t>
            </w:r>
          </w:p>
        </w:tc>
      </w:tr>
      <w:tr>
        <w:tc>
          <w:tcPr/>
          <w:p>
            <w:pPr>
              <w:pStyle w:val="Compact"/>
            </w:pPr>
            <w:r>
              <w:t xml:space="preserve">8:10-8:13</w:t>
            </w:r>
          </w:p>
        </w:tc>
        <w:tc>
          <w:tcPr/>
          <w:p>
            <w:pPr>
              <w:pStyle w:val="Compact"/>
            </w:pPr>
            <w:r>
              <w:t xml:space="preserve">Block 7: The first Lab scheduled</w:t>
            </w:r>
          </w:p>
        </w:tc>
        <w:tc>
          <w:tcPr/>
          <w:p>
            <w:pPr>
              <w:pStyle w:val="Compact"/>
            </w:pPr>
            <w:r>
              <w:t xml:space="preserve">Content presenter; container holder watching the room</w:t>
            </w:r>
          </w:p>
        </w:tc>
      </w:tr>
      <w:tr>
        <w:tc>
          <w:tcPr/>
          <w:p>
            <w:pPr>
              <w:pStyle w:val="Compact"/>
            </w:pPr>
            <w:r>
              <w:t xml:space="preserve">8:13-8:20</w:t>
            </w:r>
          </w:p>
        </w:tc>
        <w:tc>
          <w:tcPr/>
          <w:p>
            <w:pPr>
              <w:pStyle w:val="Compact"/>
            </w:pPr>
            <w:r>
              <w:t xml:space="preserve">Block 9: The final rep — the container closed</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70bf130cef2dbf05a6680e4560bcf10eae57fcf"/>
    <w:p>
      <w:pPr>
        <w:pStyle w:val="Heading2"/>
      </w:pPr>
      <w:r>
        <w:t xml:space="preserve">The homework handout (Session 22, two weeks)</w:t>
      </w:r>
    </w:p>
    <w:p>
      <w:pPr>
        <w:pStyle w:val="Compact"/>
        <w:numPr>
          <w:ilvl w:val="0"/>
          <w:numId w:val="1001"/>
        </w:numPr>
      </w:pPr>
      <w:r>
        <w:rPr>
          <w:b/>
          <w:bCs/>
        </w:rPr>
        <w:t>The homework practice, week one.</w:t>
      </w:r>
      <w:r>
        <w:t xml:space="preserve"> </w:t>
      </w:r>
      <w:r>
        <w:t xml:space="preserve">For the new FC1s: the Leader Lab rhythm begins — bring one vital-signs observation from tonight’s room to Lab 1 of the serving cycle. For everyone: the Rhythm Card and the Going Deeper interlude practices.</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22 commissions what the map has built — all four Connects, carried by the Companions.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2026-09-09T17:07:39Z</dcterms:created>
  <dcterms:modified xsi:type="dcterms:W3CDTF">2026-09-09T17:07:39Z</dcterms:modified>
</cp:coreProperties>
</file>

<file path=docProps/custom.xml><?xml version="1.0" encoding="utf-8"?>
<Properties xmlns="http://schemas.openxmlformats.org/officeDocument/2006/custom-properties" xmlns:vt="http://schemas.openxmlformats.org/officeDocument/2006/docPropsVTypes"/>
</file>