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8-the-return-ii"/>
    <w:p>
      <w:pPr>
        <w:pStyle w:val="Heading1"/>
      </w:pPr>
      <w:r>
        <w:t xml:space="preserve">Take-Home Sheet — Session 18: The Return Ii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Continue the rhythm as built — no restart language needed this time; the returning rule covers whatever slipped. And a gentle, unaudited word to the parents: the Four Questions door (commissioned at Week 15, willing-only always) is still open for any parent who has not yet found their moment.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