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e138816266d7fc471286b7e8c1c818634426629"/>
    <w:p>
      <w:pPr>
        <w:pStyle w:val="Heading1"/>
      </w:pPr>
      <w:r>
        <w:t xml:space="preserve">Session 5, Evening Form — Knowing and Being Known</w:t>
      </w:r>
    </w:p>
    <w:p>
      <w:pPr>
        <w:pStyle w:val="FirstParagraph"/>
      </w:pPr>
      <w:r>
        <w:rPr>
          <w:b/>
          <w:bCs/>
        </w:rPr>
        <w:t xml:space="preserve">For the night the prototype group picks its thread back up, whenever the</w:t>
      </w:r>
      <w:r>
        <w:rPr>
          <w:b/>
          <w:bCs/>
        </w:rPr>
        <w:t xml:space="preserve"> </w:t>
      </w:r>
      <w:r>
        <w:rPr>
          <w:b/>
          <w:bCs/>
        </w:rPr>
        <w:t xml:space="preserve">sequence brings it. Companion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docs/getting-started/week-05-known.md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which keeps the full scripts and notes; this sheet carries what the evening</w:t>
      </w:r>
      <w:r>
        <w:rPr>
          <w:b/>
          <w:bCs/>
        </w:rPr>
        <w:t xml:space="preserve"> </w:t>
      </w:r>
      <w:r>
        <w:rPr>
          <w:b/>
          <w:bCs/>
        </w:rPr>
        <w:t xml:space="preserve">changes.</w:t>
      </w:r>
    </w:p>
    <w:p>
      <w:pPr>
        <w:pStyle w:val="BodyText"/>
      </w:pPr>
      <w:r>
        <w:rPr>
          <w:b/>
          <w:bCs/>
        </w:rPr>
        <w:t xml:space="preserve">Aim (unchanged).</w:t>
      </w:r>
      <w:r>
        <w:t xml:space="preserve"> </w:t>
      </w:r>
      <w:r>
        <w:t xml:space="preserve">Move from Self into Others as the dominant Connect. The</w:t>
      </w:r>
      <w:r>
        <w:t xml:space="preserve"> </w:t>
      </w:r>
      <w:r>
        <w:t xml:space="preserve">container we have been building is the teacher: what makes this room</w:t>
      </w:r>
      <w:r>
        <w:t xml:space="preserve"> </w:t>
      </w:r>
      <w:r>
        <w:t xml:space="preserve">different from the rest of life, and where do those conditions show up, or</w:t>
      </w:r>
      <w:r>
        <w:t xml:space="preserve"> </w:t>
      </w:r>
      <w:r>
        <w:t xml:space="preserve">not, in our actual friendships?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Ecclesiastes 4:9-12.</w:t>
      </w:r>
    </w:p>
    <w:bookmarkStart w:id="9" w:name="what-the-evening-form-changes"/>
    <w:p>
      <w:pPr>
        <w:pStyle w:val="Heading2"/>
      </w:pPr>
      <w:r>
        <w:t xml:space="preserve">What the evening form changes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check-in carries more.</w:t>
      </w:r>
      <w:r>
        <w:t xml:space="preserve"> </w:t>
      </w:r>
      <w:r>
        <w:t xml:space="preserve">If this is the group’s first evening back,</w:t>
      </w:r>
      <w:r>
        <w:t xml:space="preserve"> </w:t>
      </w:r>
      <w:r>
        <w:t xml:space="preserve">the check-in acknowledges the gap honestly (what survived the pause is</w:t>
      </w:r>
      <w:r>
        <w:t xml:space="preserve"> </w:t>
      </w:r>
      <w:r>
        <w:t xml:space="preserve">data, not failure); on an ordinary cycle it carries two weeks of practice</w:t>
      </w:r>
      <w:r>
        <w:t xml:space="preserve"> </w:t>
      </w:r>
      <w:r>
        <w:t xml:space="preserve">and the midweek check-in reports.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teaching is the container holder’s own charge.</w:t>
      </w:r>
      <w:r>
        <w:t xml:space="preserve"> </w:t>
      </w:r>
      <w:r>
        <w:t xml:space="preserve">The four</w:t>
      </w:r>
      <w:r>
        <w:t xml:space="preserve"> </w:t>
      </w:r>
      <w:r>
        <w:t xml:space="preserve">conditions are the very things the container holder carries (safety and</w:t>
      </w:r>
      <w:r>
        <w:t xml:space="preserve"> </w:t>
      </w:r>
      <w:r>
        <w:t xml:space="preserve">warmth, presence, clear and intentional). The content presenter teaches</w:t>
      </w:r>
      <w:r>
        <w:t xml:space="preserve"> </w:t>
      </w:r>
      <w:r>
        <w:t xml:space="preserve">them; the container holder embodies them in real time. The room gets the</w:t>
      </w:r>
      <w:r>
        <w:t xml:space="preserve"> </w:t>
      </w:r>
      <w:r>
        <w:t xml:space="preserve">lesson twice.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Clusters at home scale.</w:t>
      </w:r>
      <w:r>
        <w:t xml:space="preserve"> </w:t>
      </w:r>
      <w:r>
        <w:t xml:space="preserve">The school version splits into family</w:t>
      </w:r>
      <w:r>
        <w:t xml:space="preserve"> </w:t>
      </w:r>
      <w:r>
        <w:t xml:space="preserve">clusters; at this table the split is parent pair and teen pair (or one</w:t>
      </w:r>
      <w:r>
        <w:t xml:space="preserve"> </w:t>
      </w:r>
      <w:r>
        <w:t xml:space="preserve">circle if the room is small enough to stay honest).</w:t>
      </w:r>
    </w:p>
    <w:bookmarkEnd w:id="9"/>
    <w:bookmarkStart w:id="10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(or the long pause) reported; midweek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7:25-7:42</w:t>
            </w:r>
          </w:p>
        </w:tc>
        <w:tc>
          <w:tcPr/>
          <w:p>
            <w:pPr>
              <w:pStyle w:val="Compact"/>
            </w:pPr>
            <w:r>
              <w:t xml:space="preserve">The four conditions, taught: Ecclesiastes 4:9-12 read aloud; walk Safe, Present, Clear, Intentional.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7:42-8:08</w:t>
            </w:r>
          </w:p>
        </w:tc>
        <w:tc>
          <w:tcPr/>
          <w:p>
            <w:pPr>
              <w:pStyle w:val="Compact"/>
            </w:pPr>
            <w:r>
              <w:t xml:space="preserve">Friendship mapping: each person works the four conditions through their real friendships, in pairs; then pairs share what they choose.</w:t>
            </w:r>
          </w:p>
        </w:tc>
        <w:tc>
          <w:tcPr/>
          <w:p>
            <w:pPr>
              <w:pStyle w:val="Compact"/>
            </w:pPr>
            <w:r>
              <w:t xml:space="preserve">Content presenter,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8:08-8:20</w:t>
            </w:r>
          </w:p>
        </w:tc>
        <w:tc>
          <w:tcPr/>
          <w:p>
            <w:pPr>
              <w:pStyle w:val="Compact"/>
            </w:pPr>
            <w:r>
              <w:t xml:space="preserve">Shared circle: common patterns surfaced, no names. Parents first.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10"/>
    <w:bookmarkStart w:id="11" w:name="the-homework-handout-session-5-two-weeks"/>
    <w:p>
      <w:pPr>
        <w:pStyle w:val="Heading2"/>
      </w:pPr>
      <w:r>
        <w:t xml:space="preserve">The homework handout (Session 5, two weeks)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Pick one friendship in your life. Pick one of</w:t>
      </w:r>
      <w:r>
        <w:t xml:space="preserve"> </w:t>
      </w:r>
      <w:r>
        <w:t xml:space="preserve">the four conditions. Practice it in that friendship more intentionally</w:t>
      </w:r>
      <w:r>
        <w:t xml:space="preserve"> </w:t>
      </w:r>
      <w:r>
        <w:t xml:space="preserve">than usual. Journal what happens.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Same friendship, second condition — or the</w:t>
      </w:r>
      <w:r>
        <w:t xml:space="preserve"> </w:t>
      </w:r>
      <w:r>
        <w:t xml:space="preserve">same condition, deeper, if the first week opened something. Journal what</w:t>
      </w:r>
      <w:r>
        <w:t xml:space="preserve"> </w:t>
      </w:r>
      <w:r>
        <w:t xml:space="preserve">happens.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Before we meet, finish this sentence in</w:t>
      </w:r>
      <w:r>
        <w:t xml:space="preserve"> </w:t>
      </w:r>
      <w:r>
        <w:t xml:space="preserve">your journal:</w:t>
      </w:r>
      <w:r>
        <w:t xml:space="preserve"> </w:t>
      </w:r>
      <w:r>
        <w:t xml:space="preserve">“The condition my friendships need most from me is</w:t>
      </w:r>
      <w:r>
        <w:t xml:space="preserve"> </w:t>
      </w:r>
      <w:r>
        <w:t xml:space="preserve">________.”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1"/>
    <w:bookmarkStart w:id="12" w:name="watch-fors-evening-additions"/>
    <w:p>
      <w:pPr>
        <w:pStyle w:val="Heading2"/>
      </w:pPr>
      <w:r>
        <w:t xml:space="preserve">Watch-fors, evening additions</w:t>
      </w:r>
    </w:p>
    <w:p>
      <w:pPr>
        <w:pStyle w:val="FirstParagraph"/>
      </w:pPr>
      <w:r>
        <w:t xml:space="preserve">The school version’s watch-fors stand. Two more: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Friendship material can carry weight</w:t>
      </w:r>
      <w:r>
        <w:t xml:space="preserve"> </w:t>
      </w:r>
      <w:r>
        <w:t xml:space="preserve">(the friend who left, the</w:t>
      </w:r>
      <w:r>
        <w:t xml:space="preserve"> </w:t>
      </w:r>
      <w:r>
        <w:t xml:space="preserve">betrayal, the loneliness). The backstop adult stays attentive through the</w:t>
      </w:r>
      <w:r>
        <w:t xml:space="preserve"> </w:t>
      </w:r>
      <w:r>
        <w:t xml:space="preserve">mapping block; anything heavy hands off per the leader’s guidelines previously discussed.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pause-gap comparison.</w:t>
      </w:r>
      <w:r>
        <w:t xml:space="preserve"> </w:t>
      </w:r>
      <w:r>
        <w:t xml:space="preserve">If this follows a long break, resist letting</w:t>
      </w:r>
      <w:r>
        <w:t xml:space="preserve"> </w:t>
      </w:r>
      <w:r>
        <w:t xml:space="preserve">the check-in become a referendum on faithfulness. What survived the break</w:t>
      </w:r>
      <w:r>
        <w:t xml:space="preserve"> </w:t>
      </w:r>
      <w:r>
        <w:t xml:space="preserve">is the finding; shame is not on the agenda.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2026-09-09T14:08:10Z</dcterms:created>
  <dcterms:modified xsi:type="dcterms:W3CDTF">2026-09-09T14:08:10Z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