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2C5F2D"/>
          <w:sz w:val="36"/>
        </w:rPr>
        <w:t>Leader Notes — Session 10: The Garden Of Your Heart Ii</w:t>
      </w:r>
    </w:p>
    <w:p>
      <w:pPr>
        <w:spacing w:before="0" w:after="80"/>
      </w:pPr>
      <w:r>
        <w:rPr>
          <w:color w:val="595959"/>
          <w:sz w:val="18"/>
        </w:rPr>
        <w:t>FotH Evening · the speaker notes, in hand — so the leading pair reads the room, not the screen. The big number on each block is the number in the corner of the screen; the colour is whose block it is. Built from the deck's own notes, so the two always agree.</w:t>
      </w:r>
    </w:p>
    <w:p>
      <w:pPr>
        <w:spacing w:before="0" w:after="200"/>
      </w:pPr>
      <w:r>
        <w:rPr>
          <w:b/>
          <w:color w:val="1F4E79"/>
          <w:sz w:val="18"/>
          <w:shd w:val="clear" w:color="auto" w:fill="DEEAF6"/>
        </w:rPr>
        <w:t xml:space="preserve"> ▌ CONTAINER HOLDER </w:t>
      </w:r>
      <w:r>
        <w:rPr>
          <w:sz w:val="18"/>
        </w:rPr>
        <w:t xml:space="preserve">   </w:t>
      </w:r>
      <w:r>
        <w:rPr>
          <w:b/>
          <w:color w:val="B45309"/>
          <w:sz w:val="18"/>
          <w:shd w:val="clear" w:color="auto" w:fill="FCE9D6"/>
        </w:rPr>
        <w:t xml:space="preserve"> ‖ CONTENT PRESENTER </w:t>
      </w:r>
      <w:r>
        <w:rPr>
          <w:sz w:val="18"/>
        </w:rPr>
        <w:t xml:space="preserve">   </w:t>
      </w:r>
      <w:r>
        <w:rPr>
          <w:b/>
          <w:color w:val="6B3FA0"/>
          <w:sz w:val="18"/>
          <w:shd w:val="clear" w:color="auto" w:fill="ECE3F5"/>
        </w:rPr>
        <w:t xml:space="preserve"> ▐ BOTH LEADERS </w:t>
      </w:r>
      <w:r>
        <w:rPr>
          <w:sz w:val="18"/>
        </w:rPr>
        <w:t xml:space="preserve">   </w:t>
      </w:r>
      <w:r>
        <w:rPr>
          <w:i/>
          <w:color w:val="7F7F7F"/>
          <w:sz w:val="16"/>
        </w:rPr>
        <w:t>Bar styles differ too, so the roles still read in black and white.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24"/>
        </w:rPr>
        <w:t>Title</w:t>
      </w:r>
      <w:r>
        <w:rPr>
          <w:rFonts w:ascii="Cambria" w:hAnsi="Cambria"/>
          <w:b/>
          <w:color w:val="2C5F2D"/>
          <w:sz w:val="24"/>
        </w:rPr>
        <w:t xml:space="preserve">   Fellowship of the Heart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1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DECK TITLE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as the room assembles on night one. All Scripture ESV; the plans carry the scripts; these slides carry the room — and these notes carry you.</w:t>
      </w:r>
    </w:p>
    <w:p>
      <w:pPr>
        <w:keepNext/>
        <w:pBdr>
          <w:left w:val="dotted" w:sz="24" w:space="8" w:color="8C8C8C"/>
        </w:pBdr>
        <w:shd w:val="clear" w:color="auto" w:fill="F0F0F0"/>
        <w:spacing w:before="160" w:after="40"/>
      </w:pPr>
      <w:r>
        <w:rPr>
          <w:rFonts w:ascii="Cambria" w:hAnsi="Cambria"/>
          <w:b/>
          <w:color w:val="8C8C8C"/>
          <w:sz w:val="30"/>
        </w:rPr>
        <w:t>145</w:t>
      </w:r>
      <w:r>
        <w:rPr>
          <w:rFonts w:ascii="Cambria" w:hAnsi="Cambria"/>
          <w:b/>
          <w:color w:val="2C5F2D"/>
          <w:sz w:val="24"/>
        </w:rPr>
        <w:t xml:space="preserve">   SESSION 10</w:t>
      </w:r>
      <w:r>
        <w:rPr>
          <w:b/>
          <w:color w:val="8C8C8C"/>
          <w:sz w:val="17"/>
        </w:rPr>
        <w:t xml:space="preserve">    ON SCREEN</w:t>
      </w:r>
      <w:r>
        <w:rPr>
          <w:b w:val="0"/>
          <w:color w:val="7F7F7F"/>
          <w:sz w:val="16"/>
        </w:rPr>
        <w:t xml:space="preserve">   · slide 2 of 15</w:t>
      </w:r>
    </w:p>
    <w:p>
      <w:pPr>
        <w:keepNext/>
        <w:pBdr>
          <w:left w:val="dotted" w:sz="24" w:space="8" w:color="8C8C8C"/>
        </w:pBdr>
        <w:spacing w:before="0" w:after="60"/>
      </w:pPr>
      <w:r>
        <w:rPr>
          <w:b/>
          <w:color w:val="6B8E3F"/>
          <w:sz w:val="18"/>
        </w:rPr>
        <w:t>S10 · pre-session · DIVIDER</w:t>
      </w:r>
    </w:p>
    <w:p>
      <w:pPr>
        <w:pBdr>
          <w:left w:val="dotted" w:sz="24" w:space="8" w:color="8C8C8C"/>
        </w:pBdr>
        <w:spacing w:before="0" w:after="60"/>
      </w:pPr>
      <w:r>
        <w:t>On screen through dinner and as the circle forms. Greet at the door — the slide holds the room.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146</w:t>
      </w:r>
      <w:r>
        <w:rPr>
          <w:rFonts w:ascii="Cambria" w:hAnsi="Cambria"/>
          <w:b/>
          <w:color w:val="2C5F2D"/>
          <w:sz w:val="24"/>
        </w:rPr>
        <w:t xml:space="preserve">   Where We Are — the Four Connects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3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S10 · WELCOME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  <w:t xml:space="preserve"> · GROUNDING — every session opens on this map</w:t>
      </w:r>
    </w:p>
    <w:p>
      <w:pPr>
        <w:pBdr>
          <w:left w:val="single" w:sz="24" w:space="8" w:color="1F4E7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single" w:sz="24" w:space="8" w:color="1F4E79"/>
        </w:pBdr>
        <w:spacing w:before="0" w:after="60"/>
      </w:pPr>
      <w:r>
        <w:t>1. Locate tonight on the map, plainly: Session 10 stands in the third box — Connect with God — walked again, teen-led. Each connection makes the next one real (Matt. 22:37–40).</w:t>
      </w:r>
    </w:p>
    <w:p>
      <w:pPr>
        <w:pBdr>
          <w:left w:val="single" w:sz="24" w:space="8" w:color="1F4E79"/>
        </w:pBdr>
        <w:spacing w:before="0" w:after="60"/>
      </w:pPr>
      <w:r>
        <w:t>2. The four boxes are one journey — each connection makes the next one real — rooted in the two great commandments: love God, love neighbor (Matt 22:37–40).</w:t>
      </w:r>
    </w:p>
    <w:p>
      <w:pPr>
        <w:pBdr>
          <w:left w:val="single" w:sz="24" w:space="8" w:color="1F4E79"/>
        </w:pBdr>
        <w:spacing w:before="0" w:after="60"/>
      </w:pPr>
      <w:r>
        <w:t>3. This is also the 'where we are on the map' minute the welcome owes any newcomer.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Two minutes at most; then tonight's road.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147</w:t>
      </w:r>
      <w:r>
        <w:rPr>
          <w:rFonts w:ascii="Cambria" w:hAnsi="Cambria"/>
          <w:b/>
          <w:color w:val="2C5F2D"/>
          <w:sz w:val="24"/>
        </w:rPr>
        <w:t xml:space="preserve">   Session 10 — Tonight’s Road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4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S10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Second garden run: nothing new is taught — today completes what Week 9 began, and a senior reads the walk-through for the whole room. 2. The bright line on display: the teen leads the scripted walk-through; the adults hold the sharing and anything that surfaces. 3. The first visit finds the garden; the second visit begins the tending.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Pre-session check-ins with anyone whose Week 9 garden was dark or empty — going back in is optional; sitting and praying instead is fully honored, no explanation owed.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148</w:t>
      </w:r>
      <w:r>
        <w:rPr>
          <w:rFonts w:ascii="Cambria" w:hAnsi="Cambria"/>
          <w:b/>
          <w:color w:val="2C5F2D"/>
          <w:sz w:val="24"/>
        </w:rPr>
        <w:t xml:space="preserve">   Opening Container — the Eight Steps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S10 · 7:00–7:08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Open even quieter than Week 9 — lights low if the room allows. Aaronic blessing. 2. Frame the second run: not a rerun — deeper. 3. Name the senior once, warmly, and move on: 'the words are the same words; they will read from the card, slowly, the same way I did.' No build-up — a spotlight distorts what the slot is meant to form. 4. Container unchanged: pair talk stays in the pair; nothing required — not even the exercise.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PAIR LEAD: </w:t>
      </w:r>
      <w:r>
        <w:t>name the leading pair in the welcome — two leaders hold tonight, and the room will see the evening handed back and forth between them; that is the design. The pair practices the session together beforehand.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149</w:t>
      </w:r>
      <w:r>
        <w:rPr>
          <w:rFonts w:ascii="Cambria" w:hAnsi="Cambria"/>
          <w:b/>
          <w:color w:val="2C5F2D"/>
          <w:sz w:val="24"/>
        </w:rPr>
        <w:t xml:space="preserve">   Garden Week Check-In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6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S10 · 7:08–7:25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One sentence on how the going was this week — not what happened in the garden. 'I meant to and didn't' counts. 2. Receive each identically. 3. Land the line if comparison language surfaced: there is no junior varsity garden — Jesus meets each person in the garden they actually have, and the backyard He walks into is holy ground.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offers the first sentence (check the Run Card) — never cold-call a teen; pass-anytime holds.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150</w:t>
      </w:r>
      <w:r>
        <w:rPr>
          <w:rFonts w:ascii="Cambria" w:hAnsi="Cambria"/>
          <w:b/>
          <w:color w:val="2C5F2D"/>
          <w:sz w:val="24"/>
        </w:rPr>
        <w:t xml:space="preserve">   Scripture and Brief Re-Framing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7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S10 · 7:25–7:34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Re-read Psalm 23 and John 15:1–11, slowly — same anchors on purpose; the room hears them differently now. 2. Keep the framing SHORT — the theology was laid last week. 3. The second-visit frame: the garden is a living place; going back changes things. 4. The open door, said clearly: anyone whose garden was hard may sit with eyes open and simply pray while the others walk — a faithful way to spend the half hour; nobody will ask why. 5. Today the guide talks less and the silences run longer — on purpose. You know the way now.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151</w:t>
      </w:r>
      <w:r>
        <w:rPr>
          <w:rFonts w:ascii="Cambria" w:hAnsi="Cambria"/>
          <w:b/>
          <w:color w:val="2C5F2D"/>
          <w:sz w:val="24"/>
        </w:rPr>
        <w:t xml:space="preserve">   Bridge to the Exercise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8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S10 · 7:34–7:36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  <w:t xml:space="preserve"> · TRANSITION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Same shape as last week: walk-through 12–15 min, all together in this room, longer quiet than last time; then journaling; then pairs for sharing by invitation — silence is a complete answer. 2. Pray: 'Tend what You want to tend.' 3. No move yet — the room stays as one circle for the walk-through; the pairs come after the journaling.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152</w:t>
      </w:r>
      <w:r>
        <w:rPr>
          <w:rFonts w:ascii="Cambria" w:hAnsi="Cambria"/>
          <w:b/>
          <w:color w:val="2C5F2D"/>
          <w:sz w:val="24"/>
        </w:rPr>
        <w:t xml:space="preserve">   The Garden Exercise — Whole Room, then pairs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9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S10 · 7:36–8:13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Settle 2 min, then the senior reads the walk-through from H10.1 — two words per second; (pause) = 30 full seconds, (longer pause) = 60, longer than Week 9 on purpose. Reading from the card IS the design. 2. Mid-read distress: the senior keeps reading, same pace, same volume; the pre-named adult moves to the person. Neither covers for the other. 3. The visible handoff when it ends: senior — '[Name], the room is yours.' Adult — 'Thank you. That was well led.' From there the adults carry everything. 4. Journaling 5 min, then pairs: arranged parent opens; receive without interpreting.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Settle Protocol if overwhelm exceeds the two-role hold — stop for them, not the circle; no return to the exercise today. The senior never takes a disclosure, even a fragment — hand it to the adult immediately.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153</w:t>
      </w:r>
      <w:r>
        <w:rPr>
          <w:rFonts w:ascii="Cambria" w:hAnsi="Cambria"/>
          <w:b/>
          <w:color w:val="2C5F2D"/>
          <w:sz w:val="24"/>
        </w:rPr>
        <w:t xml:space="preserve">   Merge and One-Word Landing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10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S10 · 8:13–8:20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Quieter than last week — honor it; wait. 2. One word each, optional: 'deeper', 'same', 'tender', 'harder', 'found'. Receive with eye contact and a slight nod; say nothing else. 3. Close: a garden visited twice is a garden being tended — whatever He is doing in yours, He will keep doing this week.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Arranged parent offers the first word; pass-anytime holds.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154</w:t>
      </w:r>
      <w:r>
        <w:rPr>
          <w:rFonts w:ascii="Cambria" w:hAnsi="Cambria"/>
          <w:b/>
          <w:color w:val="2C5F2D"/>
          <w:sz w:val="24"/>
        </w:rPr>
        <w:t xml:space="preserve">   Homework — Two Weeks,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11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S10 · 8:20–8:24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BEATS: </w:t>
      </w:r>
      <w:r>
        <w:t>1. Co-Companion (Parent) leads. Two garden returns this week, 5–10 min each — the load drops from three on purpose; a rhythm that survives beats a sprint that impresses. 2. Journal each visit, even two sentences — the garden speaks slowly; the journal is how you hear it across weeks. 3. Same gentle word: if a return surfaces something heavy, stop, and tell a trusted adult. Fresh Garden Journal pages at the door.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155</w:t>
      </w:r>
      <w:r>
        <w:rPr>
          <w:rFonts w:ascii="Cambria" w:hAnsi="Cambria"/>
          <w:b/>
          <w:color w:val="2C5F2D"/>
          <w:sz w:val="24"/>
        </w:rPr>
        <w:t xml:space="preserve">   The Take-Home Sheet — the Daily Rhythm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12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S10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sheet on the screen is the sheet in their hands — walk it, don't read it.</w:t>
      </w:r>
    </w:p>
    <w:p>
      <w:pPr>
        <w:pBdr>
          <w:left w:val="double" w:sz="12" w:space="8" w:color="B45309"/>
        </w:pBdr>
        <w:spacing w:before="0" w:after="60"/>
      </w:pPr>
      <w:r>
        <w:t>2. The standing rhythm first: the morning question, the evening journal line — one box per day on the week-grids.</w:t>
      </w:r>
    </w:p>
    <w:p>
      <w:pPr>
        <w:pBdr>
          <w:left w:val="double" w:sz="12" w:space="8" w:color="B45309"/>
        </w:pBdr>
        <w:spacing w:before="0" w:after="60"/>
      </w:pPr>
      <w:r>
        <w:t>3. A missed box is never a failure — it is an invitation to return.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CUES: </w:t>
      </w:r>
      <w:r>
        <w:t>The four parts are the next slide.</w:t>
      </w:r>
    </w:p>
    <w:p>
      <w:pPr>
        <w:keepNext/>
        <w:pBdr>
          <w:left w:val="double" w:sz="12" w:space="8" w:color="B45309"/>
        </w:pBdr>
        <w:shd w:val="clear" w:color="auto" w:fill="FCE9D6"/>
        <w:spacing w:before="160" w:after="40"/>
      </w:pPr>
      <w:r>
        <w:rPr>
          <w:rFonts w:ascii="Cambria" w:hAnsi="Cambria"/>
          <w:b/>
          <w:color w:val="B45309"/>
          <w:sz w:val="30"/>
        </w:rPr>
        <w:t>156</w:t>
      </w:r>
      <w:r>
        <w:rPr>
          <w:rFonts w:ascii="Cambria" w:hAnsi="Cambria"/>
          <w:b/>
          <w:color w:val="2C5F2D"/>
          <w:sz w:val="24"/>
        </w:rPr>
        <w:t xml:space="preserve">   The Take-Home Sheet — the Four Parts</w:t>
      </w:r>
      <w:r>
        <w:rPr>
          <w:b/>
          <w:color w:val="B45309"/>
          <w:sz w:val="17"/>
        </w:rPr>
        <w:t xml:space="preserve">    CONTENT PRESENTER</w:t>
      </w:r>
      <w:r>
        <w:rPr>
          <w:b w:val="0"/>
          <w:color w:val="7F7F7F"/>
          <w:sz w:val="16"/>
        </w:rPr>
        <w:t xml:space="preserve">   · slide 13 of 15</w:t>
      </w:r>
    </w:p>
    <w:p>
      <w:pPr>
        <w:keepNext/>
        <w:pBdr>
          <w:left w:val="double" w:sz="12" w:space="8" w:color="B45309"/>
        </w:pBdr>
        <w:spacing w:before="0" w:after="60"/>
      </w:pPr>
      <w:r>
        <w:rPr>
          <w:b/>
          <w:color w:val="6B8E3F"/>
          <w:sz w:val="18"/>
        </w:rPr>
        <w:t xml:space="preserve">S10 · COMMISSIONING · </w:t>
      </w:r>
      <w:r>
        <w:rPr>
          <w:b/>
          <w:color w:val="B45309"/>
          <w:sz w:val="18"/>
        </w:rPr>
        <w:t>LEAD: CONTENT PRESENTER</w:t>
      </w:r>
      <w:r>
        <w:rPr>
          <w:b/>
          <w:color w:val="6B8E3F"/>
          <w:sz w:val="18"/>
        </w:rPr>
      </w:r>
    </w:p>
    <w:p>
      <w:pPr>
        <w:pBdr>
          <w:left w:val="double" w:sz="12" w:space="8" w:color="B45309"/>
        </w:pBdr>
        <w:spacing w:before="0" w:after="20"/>
      </w:pPr>
      <w:r>
        <w:rPr>
          <w:b/>
          <w:color w:val="595959"/>
        </w:rPr>
        <w:t>BEATS:</w:t>
      </w:r>
    </w:p>
    <w:p>
      <w:pPr>
        <w:pBdr>
          <w:left w:val="double" w:sz="12" w:space="8" w:color="B45309"/>
        </w:pBdr>
        <w:spacing w:before="0" w:after="60"/>
      </w:pPr>
      <w:r>
        <w:t>1. The four parts, in order: the homework practice, week one; the end-of-week-one check-in; the homework practice, week two; one sentence of preparation.</w:t>
      </w:r>
    </w:p>
    <w:p>
      <w:pPr>
        <w:pBdr>
          <w:left w:val="double" w:sz="12" w:space="8" w:color="B45309"/>
        </w:pBdr>
        <w:spacing w:before="0" w:after="60"/>
      </w:pPr>
      <w:r>
        <w:t>2. Check-in partners are named aloud before leaving this slide — the sheet has the line to write the name.</w:t>
      </w:r>
    </w:p>
    <w:p>
      <w:pPr>
        <w:pBdr>
          <w:left w:val="double" w:sz="12" w:space="8" w:color="B45309"/>
        </w:pBdr>
        <w:spacing w:before="0" w:after="60"/>
      </w:pPr>
      <w:r>
        <w:rPr>
          <w:b/>
          <w:color w:val="595959"/>
        </w:rPr>
        <w:t xml:space="preserve">GUARD: </w:t>
      </w:r>
      <w:r>
        <w:t>The sheet-walk, not a re-teach.</w:t>
      </w:r>
    </w:p>
    <w:p>
      <w:pPr>
        <w:keepNext/>
        <w:pBdr>
          <w:left w:val="thickThinSmallGap" w:sz="24" w:space="8" w:color="6B3FA0"/>
        </w:pBdr>
        <w:shd w:val="clear" w:color="auto" w:fill="ECE3F5"/>
        <w:spacing w:before="160" w:after="40"/>
      </w:pPr>
      <w:r>
        <w:rPr>
          <w:rFonts w:ascii="Cambria" w:hAnsi="Cambria"/>
          <w:b/>
          <w:color w:val="6B3FA0"/>
          <w:sz w:val="30"/>
        </w:rPr>
        <w:t>157</w:t>
      </w:r>
      <w:r>
        <w:rPr>
          <w:rFonts w:ascii="Cambria" w:hAnsi="Cambria"/>
          <w:b/>
          <w:color w:val="2C5F2D"/>
          <w:sz w:val="24"/>
        </w:rPr>
        <w:t xml:space="preserve">   The Leader Feedback Round</w:t>
      </w:r>
      <w:r>
        <w:rPr>
          <w:b/>
          <w:color w:val="6B3FA0"/>
          <w:sz w:val="17"/>
        </w:rPr>
        <w:t xml:space="preserve">    BOTH LEADERS</w:t>
      </w:r>
      <w:r>
        <w:rPr>
          <w:b w:val="0"/>
          <w:color w:val="7F7F7F"/>
          <w:sz w:val="16"/>
        </w:rPr>
        <w:t xml:space="preserve">   · slide 14 of 15</w:t>
      </w:r>
    </w:p>
    <w:p>
      <w:pPr>
        <w:keepNext/>
        <w:pBdr>
          <w:left w:val="thickThinSmallGap" w:sz="24" w:space="8" w:color="6B3FA0"/>
        </w:pBdr>
        <w:spacing w:before="0" w:after="60"/>
      </w:pPr>
      <w:r>
        <w:rPr>
          <w:b/>
          <w:color w:val="6B8E3F"/>
          <w:sz w:val="18"/>
        </w:rPr>
        <w:t xml:space="preserve">S10 · 8:24–8:28 · </w:t>
      </w:r>
      <w:r>
        <w:rPr>
          <w:b/>
          <w:color w:val="6B3FA0"/>
          <w:sz w:val="18"/>
        </w:rPr>
        <w:t>LEAD: BOTH LEADERS</w:t>
      </w:r>
      <w:r>
        <w:rPr>
          <w:b/>
          <w:color w:val="6B8E3F"/>
          <w:sz w:val="18"/>
        </w:rPr>
      </w:r>
    </w:p>
    <w:p>
      <w:pPr>
        <w:pBdr>
          <w:left w:val="thickThinSmallGap" w:sz="24" w:space="8" w:color="6B3FA0"/>
        </w:pBdr>
        <w:spacing w:before="0" w:after="60"/>
      </w:pPr>
      <w:r>
        <w:rPr>
          <w:b/>
          <w:color w:val="595959"/>
        </w:rPr>
        <w:t xml:space="preserve">BEATS: </w:t>
      </w:r>
      <w:r>
        <w:t>1. Merged round — a teen led the deepest practice: the senior answers first, the adult second, the room by consent, covering both. 2. For a first-time guide, pace and the held silences are the honest headline; ONE thing to try differently — one, not a list. 3. If the debrief ran heavy — something still visibly in the room — DROP the round entirely; it moves to the team debrief, and the senior is told why in these words: protecting the room came first today. That sentence is the lesson, not a consolation. The blessing still closes either way.</w:t>
      </w:r>
    </w:p>
    <w:p>
      <w:pPr>
        <w:keepNext/>
        <w:pBdr>
          <w:left w:val="single" w:sz="24" w:space="8" w:color="1F4E79"/>
        </w:pBdr>
        <w:shd w:val="clear" w:color="auto" w:fill="DEEAF6"/>
        <w:spacing w:before="160" w:after="40"/>
      </w:pPr>
      <w:r>
        <w:rPr>
          <w:rFonts w:ascii="Cambria" w:hAnsi="Cambria"/>
          <w:b/>
          <w:color w:val="1F4E79"/>
          <w:sz w:val="30"/>
        </w:rPr>
        <w:t>158</w:t>
      </w:r>
      <w:r>
        <w:rPr>
          <w:rFonts w:ascii="Cambria" w:hAnsi="Cambria"/>
          <w:b/>
          <w:color w:val="2C5F2D"/>
          <w:sz w:val="24"/>
        </w:rPr>
        <w:t xml:space="preserve">   Closing the Container + Aaronic Blessing</w:t>
      </w:r>
      <w:r>
        <w:rPr>
          <w:b/>
          <w:color w:val="1F4E79"/>
          <w:sz w:val="17"/>
        </w:rPr>
        <w:t xml:space="preserve">    CONTAINER HOLDER</w:t>
      </w:r>
      <w:r>
        <w:rPr>
          <w:b w:val="0"/>
          <w:color w:val="7F7F7F"/>
          <w:sz w:val="16"/>
        </w:rPr>
        <w:t xml:space="preserve">   · slide 15 of 15</w:t>
      </w:r>
    </w:p>
    <w:p>
      <w:pPr>
        <w:keepNext/>
        <w:pBdr>
          <w:left w:val="single" w:sz="24" w:space="8" w:color="1F4E79"/>
        </w:pBdr>
        <w:spacing w:before="0" w:after="60"/>
      </w:pPr>
      <w:r>
        <w:rPr>
          <w:b/>
          <w:color w:val="6B8E3F"/>
          <w:sz w:val="18"/>
        </w:rPr>
        <w:t xml:space="preserve">S10 · 8:28–8:30 · </w:t>
      </w:r>
      <w:r>
        <w:rPr>
          <w:b/>
          <w:color w:val="1F4E79"/>
          <w:sz w:val="18"/>
        </w:rPr>
        <w:t>LEAD: CONTAINER HOLDER</w:t>
      </w:r>
      <w:r>
        <w:rPr>
          <w:b/>
          <w:color w:val="6B8E3F"/>
          <w:sz w:val="18"/>
        </w:rPr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BEATS: </w:t>
      </w:r>
      <w:r>
        <w:t>1. What happened in your pair is yours; carry it gently — no car-ride debrief unless the heart is fully ready. 2. If something heavy surfaced, reach out — the team is walking with you. 3. Aaronic blessing, hands up.</w:t>
      </w:r>
    </w:p>
    <w:p>
      <w:pPr>
        <w:pBdr>
          <w:left w:val="single" w:sz="24" w:space="8" w:color="1F4E79"/>
        </w:pBdr>
        <w:spacing w:before="0" w:after="60"/>
      </w:pPr>
      <w:r>
        <w:rPr>
          <w:b/>
          <w:color w:val="595959"/>
        </w:rPr>
        <w:t xml:space="preserve">CUES: </w:t>
      </w:r>
      <w:r>
        <w:t>Stay accessible fifteen minutes after; two-adult rule for any teen. Afterward, a brief specific word of thanks to the senior, separate from the feedback round — leading deep water for the first time costs something; name that it was seen.</w:t>
      </w:r>
    </w:p>
    <w:p>
      <w:pPr>
        <w:spacing w:before="200" w:after="0"/>
        <w:jc w:val="center"/>
      </w:pPr>
      <w:r>
        <w:rPr>
          <w:i/>
          <w:color w:val="595959"/>
          <w:sz w:val="18"/>
        </w:rPr>
        <w:t>Receive without defending — “thank you” is the whole response. · Further up and further in.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222B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