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12: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176–189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176</w:t>
      </w:r>
      <w:r>
        <w:rPr>
          <w:rFonts w:ascii="Cambria" w:hAnsi="Cambria"/>
          <w:b/>
          <w:color w:val="2C5F2D"/>
          <w:sz w:val="24"/>
        </w:rPr>
        <w:t xml:space="preserve">   SESSION 12</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S12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S12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12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Session 12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Pulse 2 bin staffed at the door — thank you and nothing else; name tags run again as if it were Week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179</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S12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S12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S12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183</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S12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184</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S12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187</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188</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S12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Week 13,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thickThinSmallGap" w:sz="24" w:space="8" w:color="6B3FA0"/>
        </w:pBdr>
        <w:shd w:val="clear" w:color="auto" w:fill="ECE3F5"/>
        <w:spacing w:before="160" w:after="40"/>
      </w:pPr>
      <w:r>
        <w:rPr>
          <w:rFonts w:ascii="Cambria" w:hAnsi="Cambria"/>
          <w:b/>
          <w:color w:val="6B3FA0"/>
          <w:sz w:val="30"/>
        </w:rPr>
        <w:t>189</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S12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