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190–204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190</w:t>
      </w:r>
      <w:r>
        <w:rPr>
          <w:rFonts w:ascii="Cambria" w:hAnsi="Cambria"/>
          <w:b/>
          <w:color w:val="2C5F2D"/>
          <w:sz w:val="24"/>
        </w:rPr>
        <w:t xml:space="preserve">   SESSION 13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191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192</w:t>
      </w:r>
      <w:r>
        <w:rPr>
          <w:rFonts w:ascii="Cambria" w:hAnsi="Cambria"/>
          <w:b/>
          <w:color w:val="2C5F2D"/>
          <w:sz w:val="24"/>
        </w:rPr>
        <w:t xml:space="preserve">   Session 13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bigger than career — say it early; today is not a what-will-you-do-for-a-living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193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194</w:t>
      </w:r>
      <w:r>
        <w:rPr>
          <w:rFonts w:ascii="Cambria" w:hAnsi="Cambria"/>
          <w:b/>
          <w:color w:val="2C5F2D"/>
          <w:sz w:val="24"/>
        </w:rPr>
        <w:t xml:space="preserve">   Week 11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7:08–7:25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offers the first sentence — never a cold call on a teen;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195</w:t>
      </w:r>
      <w:r>
        <w:rPr>
          <w:rFonts w:ascii="Cambria" w:hAnsi="Cambria"/>
          <w:b/>
          <w:color w:val="2C5F2D"/>
          <w:sz w:val="24"/>
        </w:rPr>
        <w:t xml:space="preserve">   Uphill and Downhill — Ephesians 2:10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Mission is not career — reframe career drift on the spot.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196</w:t>
      </w:r>
      <w:r>
        <w:rPr>
          <w:rFonts w:ascii="Cambria" w:hAnsi="Cambria"/>
          <w:b/>
          <w:color w:val="2C5F2D"/>
          <w:sz w:val="24"/>
        </w:rPr>
        <w:t xml:space="preserve">   Traveling the Mission — Tacking Against the Headwind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7:25–7:35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founder's own diagram — his life drawn as a sailing chart. A substitute may teach it simply from the slide, or let it stand while running the plan's Block 3 script.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uphill/downhill lands, show the chart: the straight line to God's goal is unsailable — headwinds, direct opposition.</w:t>
      </w:r>
    </w:p>
    <w:p>
      <w:pPr>
        <w:pBdr>
          <w:left w:val="double" w:sz="12" w:space="8" w:color="B45309"/>
        </w:pBdr>
        <w:spacing w:before="0" w:after="60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pBdr>
          <w:left w:val="double" w:sz="12" w:space="8" w:color="B45309"/>
        </w:pBdr>
        <w:spacing w:before="0" w:after="60"/>
      </w:pPr>
      <w:r>
        <w:t>3. The turns are heard, not seen. Stop listening mid-leg and you don't crash — you drift past the turn, competent and off-course.</w:t>
      </w:r>
    </w:p>
    <w:p>
      <w:pPr>
        <w:pBdr>
          <w:left w:val="double" w:sz="12" w:space="8" w:color="B45309"/>
        </w:pBdr>
        <w:spacing w:before="0" w:after="60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testimony architecture, not a demand for a tidy life-map — some in the room are mid-leg and cannot see any pattern yet; say so.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197</w:t>
      </w:r>
      <w:r>
        <w:rPr>
          <w:rFonts w:ascii="Cambria" w:hAnsi="Cambria"/>
          <w:b/>
          <w:color w:val="2C5F2D"/>
          <w:sz w:val="24"/>
        </w:rPr>
        <w:t xml:space="preserve">   Bridge to the Split — Two Exercises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7:35–7:36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opens each sharing round — arranged this week (Run Card), never a cold call on a teen; teens choose their own depth; pass holds. About ten or fewer today? Skip the split —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198</w:t>
      </w:r>
      <w:r>
        <w:rPr>
          <w:rFonts w:ascii="Cambria" w:hAnsi="Cambria"/>
          <w:b/>
          <w:color w:val="2C5F2D"/>
          <w:sz w:val="24"/>
        </w:rPr>
        <w:t xml:space="preserve">   Gifts and Downhill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7:36–8:18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goes first in each round (Run Card); never cold-call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199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8:18–8:20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Five minutes only — this block gave its other five to the feedback round; a sentence 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200</w:t>
      </w:r>
      <w:r>
        <w:rPr>
          <w:rFonts w:ascii="Cambria" w:hAnsi="Cambria"/>
          <w:b/>
          <w:color w:val="2C5F2D"/>
          <w:sz w:val="24"/>
        </w:rPr>
        <w:t xml:space="preserve">   Practice This Week — and the Road Ahead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Be explicit and warm about Week 21 — people leave today deciding who to bring. Adjust specifics to the actual closing-weeks plan.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201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202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203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S13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204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S13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