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FELLOWSHIP OF THE HEART</w:t>
      </w:r>
    </w:p>
    <w:p>
      <w:pPr>
        <w:pStyle w:val="BodyText"/>
      </w:pPr>
      <w:r>
        <w:rPr>
          <w:i/>
          <w:iCs/>
        </w:rPr>
        <w:t xml:space="preserve">Shared materials — all three series · For the host’s leadership and the Companion team</w:t>
      </w:r>
    </w:p>
    <w:p>
      <w:pPr>
        <w:pStyle w:val="BodyText"/>
      </w:pPr>
      <w:r>
        <w:rPr>
          <w:b/>
          <w:bCs/>
        </w:rPr>
        <w:t xml:space="preserve">The Host Profile</w:t>
      </w:r>
    </w:p>
    <w:p>
      <w:pPr>
        <w:pStyle w:val="BodyText"/>
      </w:pPr>
      <w:r>
        <w:rPr>
          <w:i/>
          <w:iCs/>
        </w:rPr>
        <w:t xml:space="preserve">One page that names everything about a cohort that belongs to its host, so the curriculum can say</w:t>
      </w:r>
      <w:r>
        <w:rPr>
          <w:i/>
          <w:iCs/>
        </w:rPr>
        <w:t xml:space="preserve"> </w:t>
      </w:r>
      <w:r>
        <w:rPr>
          <w:i/>
          <w:iCs/>
        </w:rPr>
        <w:t xml:space="preserve">“the host”</w:t>
      </w:r>
      <w:r>
        <w:rPr>
          <w:i/>
          <w:iCs/>
        </w:rPr>
        <w:t xml:space="preserve"> </w:t>
      </w:r>
      <w:r>
        <w:rPr>
          <w:i/>
          <w:iCs/>
        </w:rPr>
        <w:t xml:space="preserve">and mean you</w:t>
      </w:r>
    </w:p>
    <w:p>
      <w:pPr>
        <w:pStyle w:val="BodyText"/>
      </w:pPr>
      <w:r>
        <w:rPr>
          <w:i/>
          <w:iCs/>
        </w:rPr>
        <w:t xml:space="preserve">Based on the Intentional Journey of the Heart (IJH), Volumes 2, 4 and 6, and the Getting Started handbook, Sections 3 and 6</w:t>
      </w:r>
    </w:p>
    <w:p>
      <w:pPr>
        <w:pStyle w:val="BodyText"/>
      </w:pPr>
      <w:r>
        <w:rPr>
          <w:i/>
          <w:iCs/>
        </w:rPr>
        <w:t xml:space="preserve">John G. Tittle • Draft v1, September 2026</w:t>
      </w:r>
    </w:p>
    <w:p>
      <w:pPr>
        <w:pStyle w:val="BlockText"/>
      </w:pPr>
      <w:r>
        <w:rPr>
          <w:b/>
          <w:bCs/>
        </w:rPr>
        <w:t xml:space="preserve">DRAFT for John’s edits.</w:t>
      </w:r>
      <w:r>
        <w:t xml:space="preserve"> </w:t>
      </w:r>
      <w:r>
        <w:t xml:space="preserve">Part A is the template. Part B is the first host, Covenant Christian Academy, filled in from the handbook, Appendix C, and the CCA proposal, with its open items left open. Part C sketches how a second host would read. Placement when adopted:</w:t>
      </w:r>
      <w:r>
        <w:t xml:space="preserve"> </w:t>
      </w:r>
      <w:r>
        <w:rPr>
          <w:rStyle w:val="VerbatimChar"/>
        </w:rPr>
        <w:t xml:space="preserve">docs/shared/host-profile.md</w:t>
      </w:r>
      <w:r>
        <w:t xml:space="preserve">, and the handbook’s Sections 3 and 6 and every lesson-plan footer point here instead of naming the host.</w:t>
      </w:r>
    </w:p>
    <w:bookmarkStart w:id="9" w:name="why-this-page-exists"/>
    <w:p>
      <w:pPr>
        <w:pStyle w:val="Heading1"/>
      </w:pPr>
      <w:r>
        <w:t xml:space="preserve">Why this page exists</w:t>
      </w:r>
    </w:p>
    <w:p>
      <w:pPr>
        <w:pStyle w:val="FirstParagraph"/>
      </w:pPr>
      <w:r>
        <w:t xml:space="preserve">The curriculum is written once. The host changes. A cohort at a school, a cohort in a church hall, and a cohort at someone’s kitchen table run the same practices under the same container with the same safety rules, and differ in exactly seven things, all of which belong to the host and nowhere else. Until now those seven things were written into the lesson plans by hand, which is why a change of clock took a scripted sweep across seventy files. This page gathers them. It is signed by the covering and the Lead Companion before Week 1, it sits in front of the launch-blocking checklist, and it is the only page that has to change when a cohort moves house.</w:t>
      </w:r>
    </w:p>
    <w:bookmarkEnd w:id="9"/>
    <w:bookmarkStart w:id="12" w:name="part-a-the-seven-lines"/>
    <w:p>
      <w:pPr>
        <w:pStyle w:val="Heading1"/>
      </w:pPr>
      <w:r>
        <w:t xml:space="preserve">Part A — The seven lines</w:t>
      </w:r>
    </w:p>
    <w:tbl>
      <w:tblPr>
        <w:tblStyle w:val="Table"/>
        <w:tblW w:type="pct" w:w="5000"/>
        <w:tblLayout w:type="fixed"/>
        <w:tblLook w:firstRow="1" w:lastRow="0" w:firstColumn="0" w:lastColumn="0" w:noHBand="0" w:noVBand="0" w:val="0020"/>
      </w:tblPr>
      <w:tblGrid>
        <w:gridCol w:w="276"/>
        <w:gridCol w:w="1105"/>
        <w:gridCol w:w="5525"/>
        <w:gridCol w:w="1013"/>
      </w:tblGrid>
      <w:tr>
        <w:trPr>
          <w:tblHeader w:val="on"/>
        </w:trPr>
        <w:tc>
          <w:tcPr/>
          <w:p>
            <w:pPr>
              <w:pStyle w:val="Compact"/>
              <w:jc w:val="left"/>
            </w:pPr>
            <w:r>
              <w:t xml:space="preserve">#</w:t>
            </w:r>
          </w:p>
        </w:tc>
        <w:tc>
          <w:tcPr/>
          <w:p>
            <w:pPr>
              <w:pStyle w:val="Compact"/>
              <w:jc w:val="left"/>
            </w:pPr>
            <w:r>
              <w:t xml:space="preserve">Line</w:t>
            </w:r>
          </w:p>
        </w:tc>
        <w:tc>
          <w:tcPr/>
          <w:p>
            <w:pPr>
              <w:pStyle w:val="Compact"/>
              <w:jc w:val="left"/>
            </w:pPr>
            <w:r>
              <w:t xml:space="preserve">What it names</w:t>
            </w:r>
          </w:p>
        </w:tc>
        <w:tc>
          <w:tcPr/>
          <w:p>
            <w:pPr>
              <w:pStyle w:val="Compact"/>
              <w:jc w:val="left"/>
            </w:pPr>
            <w:r>
              <w:t xml:space="preserve">Who supplies it</w:t>
            </w:r>
          </w:p>
        </w:tc>
      </w:tr>
      <w:tr>
        <w:tc>
          <w:tcPr/>
          <w:p>
            <w:pPr>
              <w:pStyle w:val="Compact"/>
              <w:jc w:val="left"/>
            </w:pPr>
            <w:r>
              <w:t xml:space="preserve">1</w:t>
            </w:r>
          </w:p>
        </w:tc>
        <w:tc>
          <w:tcPr/>
          <w:p>
            <w:pPr>
              <w:pStyle w:val="Compact"/>
              <w:jc w:val="left"/>
            </w:pPr>
            <w:r>
              <w:rPr>
                <w:b/>
                <w:bCs/>
              </w:rPr>
              <w:t xml:space="preserve">The covering</w:t>
            </w:r>
          </w:p>
        </w:tc>
        <w:tc>
          <w:tcPr/>
          <w:p>
            <w:pPr>
              <w:pStyle w:val="Compact"/>
              <w:jc w:val="left"/>
            </w:pPr>
            <w:r>
              <w:t xml:space="preserve">The person or body holding spiritual authority over this cohort. Appoints or confirms the Lead Companion. Confirms, before Week 1, that every Companion has a named covering of their own. Can pause or end the work. Nobody covers themselves.</w:t>
            </w:r>
          </w:p>
        </w:tc>
        <w:tc>
          <w:tcPr/>
          <w:p>
            <w:pPr>
              <w:pStyle w:val="Compact"/>
              <w:jc w:val="left"/>
            </w:pPr>
            <w:r>
              <w:t xml:space="preserve">The host</w:t>
            </w:r>
          </w:p>
        </w:tc>
      </w:tr>
      <w:tr>
        <w:tc>
          <w:tcPr/>
          <w:p>
            <w:pPr>
              <w:pStyle w:val="Compact"/>
              <w:jc w:val="left"/>
            </w:pPr>
            <w:r>
              <w:t xml:space="preserve">2</w:t>
            </w:r>
          </w:p>
        </w:tc>
        <w:tc>
          <w:tcPr/>
          <w:p>
            <w:pPr>
              <w:pStyle w:val="Compact"/>
              <w:jc w:val="left"/>
            </w:pPr>
            <w:r>
              <w:rPr>
                <w:b/>
                <w:bCs/>
              </w:rPr>
              <w:t xml:space="preserve">The venue</w:t>
            </w:r>
          </w:p>
        </w:tc>
        <w:tc>
          <w:tcPr/>
          <w:p>
            <w:pPr>
              <w:pStyle w:val="Compact"/>
              <w:jc w:val="left"/>
            </w:pPr>
            <w:r>
              <w:t xml:space="preserve">Where the cohort meets, who owns the room, whose premises rules apply, and who else is on the premises while it runs.</w:t>
            </w:r>
          </w:p>
        </w:tc>
        <w:tc>
          <w:tcPr/>
          <w:p>
            <w:pPr>
              <w:pStyle w:val="Compact"/>
              <w:jc w:val="left"/>
            </w:pPr>
            <w:r>
              <w:t xml:space="preserve">The host</w:t>
            </w:r>
          </w:p>
        </w:tc>
      </w:tr>
      <w:tr>
        <w:tc>
          <w:tcPr/>
          <w:p>
            <w:pPr>
              <w:pStyle w:val="Compact"/>
              <w:jc w:val="left"/>
            </w:pPr>
            <w:r>
              <w:t xml:space="preserve">3</w:t>
            </w:r>
          </w:p>
        </w:tc>
        <w:tc>
          <w:tcPr/>
          <w:p>
            <w:pPr>
              <w:pStyle w:val="Compact"/>
              <w:jc w:val="left"/>
            </w:pPr>
            <w:r>
              <w:rPr>
                <w:b/>
                <w:bCs/>
              </w:rPr>
              <w:t xml:space="preserve">The clock and the cadence</w:t>
            </w:r>
          </w:p>
        </w:tc>
        <w:tc>
          <w:tcPr/>
          <w:p>
            <w:pPr>
              <w:pStyle w:val="Compact"/>
              <w:jc w:val="left"/>
            </w:pPr>
            <w:r>
              <w:t xml:space="preserve">Day, start and end, session length, weekly or every other week, number of sessions and dates, skip weeks. Where the between-session practice lands: a weekly cohort practices for seven days, an every-other-week cohort for fourteen, and the second week is a practice hold, not a gap. The series calendar file is generated from this line.</w:t>
            </w:r>
          </w:p>
        </w:tc>
        <w:tc>
          <w:tcPr/>
          <w:p>
            <w:pPr>
              <w:pStyle w:val="Compact"/>
              <w:jc w:val="left"/>
            </w:pPr>
            <w:r>
              <w:t xml:space="preserve">The host and the Lead Companion together</w:t>
            </w:r>
          </w:p>
        </w:tc>
      </w:tr>
      <w:tr>
        <w:tc>
          <w:tcPr/>
          <w:p>
            <w:pPr>
              <w:pStyle w:val="Compact"/>
              <w:jc w:val="left"/>
            </w:pPr>
            <w:r>
              <w:t xml:space="preserve">4</w:t>
            </w:r>
          </w:p>
        </w:tc>
        <w:tc>
          <w:tcPr/>
          <w:p>
            <w:pPr>
              <w:pStyle w:val="Compact"/>
              <w:jc w:val="left"/>
            </w:pPr>
            <w:r>
              <w:rPr>
                <w:b/>
                <w:bCs/>
              </w:rPr>
              <w:t xml:space="preserve">The door out</w:t>
            </w:r>
          </w:p>
        </w:tc>
        <w:tc>
          <w:tcPr/>
          <w:p>
            <w:pPr>
              <w:pStyle w:val="Compact"/>
              <w:jc w:val="left"/>
            </w:pPr>
            <w:r>
              <w:t xml:space="preserve">One adult outside the Companion team whom every participant is told they can reach, for the thing a person will not say in the room. Not a Companion, not the parent of a participant, not the Lead. Named aloud at Week 1 and printed on every take-home.</w:t>
            </w:r>
          </w:p>
        </w:tc>
        <w:tc>
          <w:tcPr/>
          <w:p>
            <w:pPr>
              <w:pStyle w:val="Compact"/>
              <w:jc w:val="left"/>
            </w:pPr>
            <w:r>
              <w:t xml:space="preserve">The host</w:t>
            </w:r>
          </w:p>
        </w:tc>
      </w:tr>
      <w:tr>
        <w:tc>
          <w:tcPr/>
          <w:p>
            <w:pPr>
              <w:pStyle w:val="Compact"/>
              <w:jc w:val="left"/>
            </w:pPr>
            <w:r>
              <w:t xml:space="preserve">5</w:t>
            </w:r>
          </w:p>
        </w:tc>
        <w:tc>
          <w:tcPr/>
          <w:p>
            <w:pPr>
              <w:pStyle w:val="Compact"/>
              <w:jc w:val="left"/>
            </w:pPr>
            <w:r>
              <w:rPr>
                <w:b/>
                <w:bCs/>
              </w:rPr>
              <w:t xml:space="preserve">The backup and the referral list</w:t>
            </w:r>
          </w:p>
        </w:tc>
        <w:tc>
          <w:tcPr/>
          <w:p>
            <w:pPr>
              <w:pStyle w:val="Compact"/>
              <w:jc w:val="left"/>
            </w:pPr>
            <w:r>
              <w:t xml:space="preserve">The pastoral or clinical backup named and on call for every session, re-confirmed forty-eight hours before each one. The referral list with verified local numbers: crisis and reporting rows before Week 1, the rest filled progressively. If a session’s backup is not confirmed, that week’s deep work runs light or waits.</w:t>
            </w:r>
          </w:p>
        </w:tc>
        <w:tc>
          <w:tcPr/>
          <w:p>
            <w:pPr>
              <w:pStyle w:val="Compact"/>
              <w:jc w:val="left"/>
            </w:pPr>
            <w:r>
              <w:t xml:space="preserve">The host names; the team verifies</w:t>
            </w:r>
          </w:p>
        </w:tc>
      </w:tr>
      <w:tr>
        <w:tc>
          <w:tcPr/>
          <w:p>
            <w:pPr>
              <w:pStyle w:val="Compact"/>
              <w:jc w:val="left"/>
            </w:pPr>
            <w:r>
              <w:t xml:space="preserve">6</w:t>
            </w:r>
          </w:p>
        </w:tc>
        <w:tc>
          <w:tcPr/>
          <w:p>
            <w:pPr>
              <w:pStyle w:val="Compact"/>
              <w:jc w:val="left"/>
            </w:pPr>
            <w:r>
              <w:rPr>
                <w:b/>
                <w:bCs/>
              </w:rPr>
              <w:t xml:space="preserve">The reporting chain and the jurisdiction</w:t>
            </w:r>
          </w:p>
        </w:tc>
        <w:tc>
          <w:tcPr/>
          <w:p>
            <w:pPr>
              <w:pStyle w:val="Compact"/>
              <w:jc w:val="left"/>
            </w:pPr>
            <w:r>
              <w:t xml:space="preserve">Which state’s law governs, which team members are mandatory reporters and under what policy, who at the host is notified of a report and in what order, and the screening standard every adult on the team clears before Week 1. Counsel’s review of the consent forms, where the host requires it.</w:t>
            </w:r>
          </w:p>
        </w:tc>
        <w:tc>
          <w:tcPr/>
          <w:p>
            <w:pPr>
              <w:pStyle w:val="Compact"/>
              <w:jc w:val="left"/>
            </w:pPr>
            <w:r>
              <w:t xml:space="preserve">The host</w:t>
            </w:r>
          </w:p>
        </w:tc>
      </w:tr>
      <w:tr>
        <w:tc>
          <w:tcPr/>
          <w:p>
            <w:pPr>
              <w:pStyle w:val="Compact"/>
              <w:jc w:val="left"/>
            </w:pPr>
            <w:r>
              <w:t xml:space="preserve">7</w:t>
            </w:r>
          </w:p>
        </w:tc>
        <w:tc>
          <w:tcPr/>
          <w:p>
            <w:pPr>
              <w:pStyle w:val="Compact"/>
              <w:jc w:val="left"/>
            </w:pPr>
            <w:r>
              <w:rPr>
                <w:b/>
                <w:bCs/>
              </w:rPr>
              <w:t xml:space="preserve">The records</w:t>
            </w:r>
          </w:p>
        </w:tc>
        <w:tc>
          <w:tcPr/>
          <w:p>
            <w:pPr>
              <w:pStyle w:val="Compact"/>
              <w:jc w:val="left"/>
            </w:pPr>
            <w:r>
              <w:t xml:space="preserve">Where signed consent forms and the team’s brief observation notes live, who may open them, and how long they are kept. Never in personal notes.</w:t>
            </w:r>
          </w:p>
        </w:tc>
        <w:tc>
          <w:tcPr/>
          <w:p>
            <w:pPr>
              <w:pStyle w:val="Compact"/>
              <w:jc w:val="left"/>
            </w:pPr>
            <w:r>
              <w:t xml:space="preserve">The host</w:t>
            </w:r>
          </w:p>
        </w:tc>
      </w:tr>
    </w:tbl>
    <w:p>
      <w:pPr>
        <w:pStyle w:val="BodyText"/>
      </w:pPr>
      <w:r>
        <w:rPr>
          <w:b/>
          <w:bCs/>
        </w:rPr>
        <w:t xml:space="preserve">Signed before Week 1.</w:t>
      </w:r>
      <w:r>
        <w:t xml:space="preserve"> </w:t>
      </w:r>
      <w:r>
        <w:t xml:space="preserve">Lead Companion: ______________ · Date: ______ · The covering: ______________ · Date: ______</w:t>
      </w:r>
    </w:p>
    <w:p>
      <w:pPr>
        <w:pStyle w:val="BodyText"/>
      </w:pPr>
      <w:r>
        <w:rPr>
          <w:b/>
          <w:bCs/>
        </w:rPr>
        <w:t xml:space="preserve">Reviewed</w:t>
      </w:r>
      <w:r>
        <w:t xml:space="preserve"> </w:t>
      </w:r>
      <w:r>
        <w:t xml:space="preserve">at the start of every series, and whenever any line changes.</w:t>
      </w:r>
    </w:p>
    <w:bookmarkStart w:id="10" w:name="what-never-changes-with-the-host"/>
    <w:p>
      <w:pPr>
        <w:pStyle w:val="Heading2"/>
      </w:pPr>
      <w:r>
        <w:t xml:space="preserve">What never changes with the host</w:t>
      </w:r>
    </w:p>
    <w:p>
      <w:pPr>
        <w:pStyle w:val="FirstParagraph"/>
      </w:pPr>
      <w:r>
        <w:t xml:space="preserve">The container and its opening and closing words. The practices. The two-adult rule. Consent and the right to stop. The confidentiality covenant and its stated limits. The Measurement Covenant. The Companion’s own covering as a selection requirement. These are the curriculum, not the host, and no profile line may weaken them.</w:t>
      </w:r>
    </w:p>
    <w:bookmarkEnd w:id="10"/>
    <w:bookmarkStart w:id="11" w:name="which-changes-are-which"/>
    <w:p>
      <w:pPr>
        <w:pStyle w:val="Heading2"/>
      </w:pPr>
      <w:r>
        <w:t xml:space="preserve">Which changes are which</w:t>
      </w:r>
    </w:p>
    <w:p>
      <w:pPr>
        <w:pStyle w:val="FirstParagraph"/>
      </w:pPr>
      <w:r>
        <w:t xml:space="preserve">Under the stewardship rule the texts run on, lines 2 and 3 are told: a new room or a new clock is mechanics, and the team simply reports it. Lines 1, 4, 5, 6, and 7 are asked, because they move the safeguards, and the covering hears them before the cohort begins.</w:t>
      </w:r>
    </w:p>
    <w:bookmarkEnd w:id="11"/>
    <w:bookmarkEnd w:id="12"/>
    <w:bookmarkStart w:id="13" w:name="X79e0d00e33dfe3f1e9c88b8b21a71bc179546c7"/>
    <w:p>
      <w:pPr>
        <w:pStyle w:val="Heading1"/>
      </w:pPr>
      <w:r>
        <w:t xml:space="preserve">Part B — The first host: Covenant Christian Academy of Warrenton, 2026–27</w:t>
      </w:r>
    </w:p>
    <w:p>
      <w:pPr>
        <w:pStyle w:val="FirstParagraph"/>
      </w:pPr>
      <w:r>
        <w:rPr>
          <w:i/>
          <w:iCs/>
        </w:rPr>
        <w:t xml:space="preserve">Filled from the Getting Started handbook (Sections 3 and 6), Appendix C v2, and the CCA Proposal v2. Items marked open were never closed because the cohort did not form.</w:t>
      </w:r>
    </w:p>
    <w:tbl>
      <w:tblPr>
        <w:tblStyle w:val="Table"/>
        <w:tblW w:type="pct" w:w="5000"/>
        <w:tblLayout w:type="fixed"/>
        <w:tblLook w:firstRow="1" w:lastRow="0" w:firstColumn="0" w:lastColumn="0" w:noHBand="0" w:noVBand="0" w:val="0020"/>
      </w:tblPr>
      <w:tblGrid>
        <w:gridCol w:w="276"/>
        <w:gridCol w:w="1289"/>
        <w:gridCol w:w="6354"/>
      </w:tblGrid>
      <w:tr>
        <w:trPr>
          <w:tblHeader w:val="on"/>
        </w:trPr>
        <w:tc>
          <w:tcPr/>
          <w:p>
            <w:pPr>
              <w:pStyle w:val="Compact"/>
              <w:jc w:val="left"/>
            </w:pPr>
            <w:r>
              <w:t xml:space="preserve">#</w:t>
            </w:r>
          </w:p>
        </w:tc>
        <w:tc>
          <w:tcPr/>
          <w:p>
            <w:pPr>
              <w:pStyle w:val="Compact"/>
              <w:jc w:val="left"/>
            </w:pPr>
            <w:r>
              <w:t xml:space="preserve">Line</w:t>
            </w:r>
          </w:p>
        </w:tc>
        <w:tc>
          <w:tcPr/>
          <w:p>
            <w:pPr>
              <w:pStyle w:val="Compact"/>
              <w:jc w:val="left"/>
            </w:pPr>
            <w:r>
              <w:t xml:space="preserve">As it stood</w:t>
            </w:r>
          </w:p>
        </w:tc>
      </w:tr>
      <w:tr>
        <w:tc>
          <w:tcPr/>
          <w:p>
            <w:pPr>
              <w:pStyle w:val="Compact"/>
              <w:jc w:val="left"/>
            </w:pPr>
            <w:r>
              <w:t xml:space="preserve">1</w:t>
            </w:r>
          </w:p>
        </w:tc>
        <w:tc>
          <w:tcPr/>
          <w:p>
            <w:pPr>
              <w:pStyle w:val="Compact"/>
              <w:jc w:val="left"/>
            </w:pPr>
            <w:r>
              <w:t xml:space="preserve">The covering</w:t>
            </w:r>
          </w:p>
        </w:tc>
        <w:tc>
          <w:tcPr/>
          <w:p>
            <w:pPr>
              <w:pStyle w:val="Compact"/>
              <w:jc w:val="left"/>
            </w:pPr>
            <w:r>
              <w:t xml:space="preserve">The Head of School, Andrea Sponsler, holds spiritual authority over the club and answers to the CCA board. Appoints the Lead Companion, John G. Tittle. Confirms each Companion’s own covering before Week 1.</w:t>
            </w:r>
            <w:r>
              <w:t xml:space="preserve"> </w:t>
            </w:r>
            <w:r>
              <w:rPr>
                <w:i/>
                <w:iCs/>
              </w:rPr>
              <w:t xml:space="preserve">Open: written approval of the club, the curriculum, and the keeping of named notes; the Head of School’s after-hours number.</w:t>
            </w:r>
          </w:p>
        </w:tc>
      </w:tr>
      <w:tr>
        <w:tc>
          <w:tcPr/>
          <w:p>
            <w:pPr>
              <w:pStyle w:val="Compact"/>
              <w:jc w:val="left"/>
            </w:pPr>
            <w:r>
              <w:t xml:space="preserve">2</w:t>
            </w:r>
          </w:p>
        </w:tc>
        <w:tc>
          <w:tcPr/>
          <w:p>
            <w:pPr>
              <w:pStyle w:val="Compact"/>
              <w:jc w:val="left"/>
            </w:pPr>
            <w:r>
              <w:t xml:space="preserve">The venue</w:t>
            </w:r>
          </w:p>
        </w:tc>
        <w:tc>
          <w:tcPr/>
          <w:p>
            <w:pPr>
              <w:pStyle w:val="Compact"/>
              <w:jc w:val="left"/>
            </w:pPr>
            <w:r>
              <w:t xml:space="preserve">A CCA classroom, Warrenton, Virginia; the school day releases the room at 4:00 and the first fifteen minutes are the room build. School staff on the premises. CCA policy governs.</w:t>
            </w:r>
          </w:p>
        </w:tc>
      </w:tr>
      <w:tr>
        <w:tc>
          <w:tcPr/>
          <w:p>
            <w:pPr>
              <w:pStyle w:val="Compact"/>
              <w:jc w:val="left"/>
            </w:pPr>
            <w:r>
              <w:t xml:space="preserve">3</w:t>
            </w:r>
          </w:p>
        </w:tc>
        <w:tc>
          <w:tcPr/>
          <w:p>
            <w:pPr>
              <w:pStyle w:val="Compact"/>
              <w:jc w:val="left"/>
            </w:pPr>
            <w:r>
              <w:t xml:space="preserve">The clock and the cadence</w:t>
            </w:r>
          </w:p>
        </w:tc>
        <w:tc>
          <w:tcPr/>
          <w:p>
            <w:pPr>
              <w:pStyle w:val="Compact"/>
              <w:jc w:val="left"/>
            </w:pPr>
            <w:r>
              <w:t xml:space="preserve">Wednesdays 4:15 to 5:30, seventy-five minutes, weekly; twenty-two sessions from 2 September 2026, skipping Thanksgiving week and Christmas break; Week 21’s family commissioning to 6:15. Calendar: the CCA 2026–27 calendar file.</w:t>
            </w:r>
            <w:r>
              <w:t xml:space="preserve"> </w:t>
            </w:r>
            <w:r>
              <w:rPr>
                <w:i/>
                <w:iCs/>
              </w:rPr>
              <w:t xml:space="preserve">This is the line a re-launch changes first: an evening, ninety minutes, and possibly every other week.</w:t>
            </w:r>
          </w:p>
        </w:tc>
      </w:tr>
      <w:tr>
        <w:tc>
          <w:tcPr/>
          <w:p>
            <w:pPr>
              <w:pStyle w:val="Compact"/>
              <w:jc w:val="left"/>
            </w:pPr>
            <w:r>
              <w:t xml:space="preserve">4</w:t>
            </w:r>
          </w:p>
        </w:tc>
        <w:tc>
          <w:tcPr/>
          <w:p>
            <w:pPr>
              <w:pStyle w:val="Compact"/>
              <w:jc w:val="left"/>
            </w:pPr>
            <w:r>
              <w:t xml:space="preserve">The door out</w:t>
            </w:r>
          </w:p>
        </w:tc>
        <w:tc>
          <w:tcPr/>
          <w:p>
            <w:pPr>
              <w:pStyle w:val="Compact"/>
              <w:jc w:val="left"/>
            </w:pPr>
            <w:r>
              <w:t xml:space="preserve">Pastor Bobby Gore, (831) 277-9878, pastoral care for the club.</w:t>
            </w:r>
            <w:r>
              <w:t xml:space="preserve"> </w:t>
            </w:r>
            <w:r>
              <w:rPr>
                <w:i/>
                <w:iCs/>
              </w:rPr>
              <w:t xml:space="preserve">Open: number phone-verified; after-hours protocol.</w:t>
            </w:r>
          </w:p>
        </w:tc>
      </w:tr>
      <w:tr>
        <w:tc>
          <w:tcPr/>
          <w:p>
            <w:pPr>
              <w:pStyle w:val="Compact"/>
              <w:jc w:val="left"/>
            </w:pPr>
            <w:r>
              <w:t xml:space="preserve">5</w:t>
            </w:r>
          </w:p>
        </w:tc>
        <w:tc>
          <w:tcPr/>
          <w:p>
            <w:pPr>
              <w:pStyle w:val="Compact"/>
              <w:jc w:val="left"/>
            </w:pPr>
            <w:r>
              <w:t xml:space="preserve">The backup and the referral list</w:t>
            </w:r>
          </w:p>
        </w:tc>
        <w:tc>
          <w:tcPr/>
          <w:p>
            <w:pPr>
              <w:pStyle w:val="Compact"/>
              <w:jc w:val="left"/>
            </w:pPr>
            <w:r>
              <w:t xml:space="preserve">Pastoral backup: Pastor Gore. Local mobile crisis: Encompass Community Supports, 24/7. Suicide and Crisis Lifeline 988; emergencies 911.</w:t>
            </w:r>
            <w:r>
              <w:t xml:space="preserve"> </w:t>
            </w:r>
            <w:r>
              <w:rPr>
                <w:i/>
                <w:iCs/>
              </w:rPr>
              <w:t xml:space="preserve">Open: the referral list’s crisis and reporting rows verified with local Warrenton numbers; the school-counselor row struck (Pastor Gore is pastoral care for the club, not the school).</w:t>
            </w:r>
          </w:p>
        </w:tc>
      </w:tr>
      <w:tr>
        <w:tc>
          <w:tcPr/>
          <w:p>
            <w:pPr>
              <w:pStyle w:val="Compact"/>
              <w:jc w:val="left"/>
            </w:pPr>
            <w:r>
              <w:t xml:space="preserve">6</w:t>
            </w:r>
          </w:p>
        </w:tc>
        <w:tc>
          <w:tcPr/>
          <w:p>
            <w:pPr>
              <w:pStyle w:val="Compact"/>
              <w:jc w:val="left"/>
            </w:pPr>
            <w:r>
              <w:t xml:space="preserve">The reporting chain and the jurisdiction</w:t>
            </w:r>
          </w:p>
        </w:tc>
        <w:tc>
          <w:tcPr/>
          <w:p>
            <w:pPr>
              <w:pStyle w:val="Compact"/>
              <w:jc w:val="left"/>
            </w:pPr>
            <w:r>
              <w:t xml:space="preserve">Virginia. Under Va. Code § 63.2-1509, school personnel are mandatory reporters; volunteer Companions train to CCA’s volunteer policy. Chain: notify the Head of School, the school counselor, and the pastoral-care lead before or with the CPS call. Adult screening to CCA’s standard, background check and required training.</w:t>
            </w:r>
            <w:r>
              <w:t xml:space="preserve"> </w:t>
            </w:r>
            <w:r>
              <w:rPr>
                <w:i/>
                <w:iCs/>
              </w:rPr>
              <w:t xml:space="preserve">Open: written confirmation of the chain; each Companion’s screening cleared; counsel’s review of the consent forms and the student-leadership addendum.</w:t>
            </w:r>
          </w:p>
        </w:tc>
      </w:tr>
      <w:tr>
        <w:tc>
          <w:tcPr/>
          <w:p>
            <w:pPr>
              <w:pStyle w:val="Compact"/>
              <w:jc w:val="left"/>
            </w:pPr>
            <w:r>
              <w:t xml:space="preserve">7</w:t>
            </w:r>
          </w:p>
        </w:tc>
        <w:tc>
          <w:tcPr/>
          <w:p>
            <w:pPr>
              <w:pStyle w:val="Compact"/>
              <w:jc w:val="left"/>
            </w:pPr>
            <w:r>
              <w:t xml:space="preserve">The records</w:t>
            </w:r>
          </w:p>
        </w:tc>
        <w:tc>
          <w:tcPr/>
          <w:p>
            <w:pPr>
              <w:pStyle w:val="Compact"/>
              <w:jc w:val="left"/>
            </w:pPr>
            <w:r>
              <w:t xml:space="preserve">“CCA’s designated secure location.”</w:t>
            </w:r>
            <w:r>
              <w:t xml:space="preserve"> </w:t>
            </w:r>
            <w:r>
              <w:rPr>
                <w:i/>
                <w:iCs/>
              </w:rPr>
              <w:t xml:space="preserve">Open: CCA had not designated one; access and retention unassigned.</w:t>
            </w:r>
          </w:p>
        </w:tc>
      </w:tr>
    </w:tbl>
    <w:p>
      <w:pPr>
        <w:pStyle w:val="BodyText"/>
      </w:pPr>
      <w:r>
        <w:t xml:space="preserve">Six of the seven lines carried open items. They are the same six written requests the CCA proposal made, and none were closed. That is not a failure of the page; it is what the page is for.</w:t>
      </w:r>
    </w:p>
    <w:bookmarkEnd w:id="13"/>
    <w:bookmarkStart w:id="14" w:name="part-c-how-a-second-host-would-read"/>
    <w:p>
      <w:pPr>
        <w:pStyle w:val="Heading1"/>
      </w:pPr>
      <w:r>
        <w:t xml:space="preserve">Part C — How a second host would read</w:t>
      </w:r>
    </w:p>
    <w:p>
      <w:pPr>
        <w:pStyle w:val="FirstParagraph"/>
      </w:pPr>
      <w:r>
        <w:rPr>
          <w:i/>
          <w:iCs/>
        </w:rPr>
        <w:t xml:space="preserve">A sketch, not a plan. An evening fellowship in John’s home under the Living Hope elders, to show that only this page moves.</w:t>
      </w:r>
    </w:p>
    <w:p>
      <w:pPr>
        <w:pStyle w:val="Compact"/>
        <w:numPr>
          <w:ilvl w:val="0"/>
          <w:numId w:val="1001"/>
        </w:numPr>
      </w:pPr>
      <w:r>
        <w:rPr>
          <w:b/>
          <w:bCs/>
        </w:rPr>
        <w:t xml:space="preserve">Covering:</w:t>
      </w:r>
      <w:r>
        <w:t xml:space="preserve"> </w:t>
      </w:r>
      <w:r>
        <w:t xml:space="preserve">the Living Hope elders, with Bill Fairbank and Ryan Hammond named; they confirm the Lead Companion and each Companion’s covering.</w:t>
      </w:r>
    </w:p>
    <w:p>
      <w:pPr>
        <w:pStyle w:val="Compact"/>
        <w:numPr>
          <w:ilvl w:val="0"/>
          <w:numId w:val="1001"/>
        </w:numPr>
      </w:pPr>
      <w:r>
        <w:rPr>
          <w:b/>
          <w:bCs/>
        </w:rPr>
        <w:t xml:space="preserve">Venue:</w:t>
      </w:r>
      <w:r>
        <w:t xml:space="preserve"> </w:t>
      </w:r>
      <w:r>
        <w:t xml:space="preserve">the Tittle home; no institutional premises rules; household rules stated at orientation.</w:t>
      </w:r>
    </w:p>
    <w:p>
      <w:pPr>
        <w:pStyle w:val="Compact"/>
        <w:numPr>
          <w:ilvl w:val="0"/>
          <w:numId w:val="1001"/>
        </w:numPr>
      </w:pPr>
      <w:r>
        <w:rPr>
          <w:b/>
          <w:bCs/>
        </w:rPr>
        <w:t xml:space="preserve">Clock and cadence:</w:t>
      </w:r>
      <w:r>
        <w:t xml:space="preserve"> </w:t>
      </w:r>
      <w:r>
        <w:t xml:space="preserve">one evening, 7:00 to 8:30, every other week, with the off week as a practice hold; the adult edition’s fifteen sessions with its two holds, or the twenty-two-week family edition over a longer year.</w:t>
      </w:r>
    </w:p>
    <w:p>
      <w:pPr>
        <w:pStyle w:val="Compact"/>
        <w:numPr>
          <w:ilvl w:val="0"/>
          <w:numId w:val="1001"/>
        </w:numPr>
      </w:pPr>
      <w:r>
        <w:rPr>
          <w:b/>
          <w:bCs/>
        </w:rPr>
        <w:t xml:space="preserve">Door out:</w:t>
      </w:r>
      <w:r>
        <w:t xml:space="preserve"> </w:t>
      </w:r>
      <w:r>
        <w:t xml:space="preserve">a Living Hope pastor or elder not on the Companion team.</w:t>
      </w:r>
    </w:p>
    <w:p>
      <w:pPr>
        <w:pStyle w:val="Compact"/>
        <w:numPr>
          <w:ilvl w:val="0"/>
          <w:numId w:val="1001"/>
        </w:numPr>
      </w:pPr>
      <w:r>
        <w:rPr>
          <w:b/>
          <w:bCs/>
        </w:rPr>
        <w:t xml:space="preserve">Backup and referral list:</w:t>
      </w:r>
      <w:r>
        <w:t xml:space="preserve"> </w:t>
      </w:r>
      <w:r>
        <w:t xml:space="preserve">a Living Hope pastoral contact on call; the same crisis rows, re-verified for the home’s locality.</w:t>
      </w:r>
    </w:p>
    <w:p>
      <w:pPr>
        <w:pStyle w:val="Compact"/>
        <w:numPr>
          <w:ilvl w:val="0"/>
          <w:numId w:val="1001"/>
        </w:numPr>
      </w:pPr>
      <w:r>
        <w:rPr>
          <w:b/>
          <w:bCs/>
        </w:rPr>
        <w:t xml:space="preserve">Reporting chain and jurisdiction:</w:t>
      </w:r>
      <w:r>
        <w:t xml:space="preserve"> </w:t>
      </w:r>
      <w:r>
        <w:t xml:space="preserve">Virginia; Living Hope’s child-protection policy if minors attend, otherwise adult consent; screening to the church’s standard.</w:t>
      </w:r>
    </w:p>
    <w:p>
      <w:pPr>
        <w:pStyle w:val="Compact"/>
        <w:numPr>
          <w:ilvl w:val="0"/>
          <w:numId w:val="1001"/>
        </w:numPr>
      </w:pPr>
      <w:r>
        <w:rPr>
          <w:b/>
          <w:bCs/>
        </w:rPr>
        <w:t xml:space="preserve">Records:</w:t>
      </w:r>
      <w:r>
        <w:t xml:space="preserve"> </w:t>
      </w:r>
      <w:r>
        <w:t xml:space="preserve">a location Living Hope designates; access and retention as they say.</w:t>
      </w:r>
    </w:p>
    <w:p>
      <w:pPr>
        <w:pStyle w:val="FirstParagraph"/>
      </w:pPr>
      <w:r>
        <w:t xml:space="preserve">Everything else in the curriculum would be untouched.</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2026-09-05T16:09:41Z</dcterms:created>
  <dcterms:modified xsi:type="dcterms:W3CDTF">2026-09-05T16:09:41Z</dcterms:modified>
</cp:coreProperties>
</file>

<file path=docProps/custom.xml><?xml version="1.0" encoding="utf-8"?>
<Properties xmlns="http://schemas.openxmlformats.org/officeDocument/2006/custom-properties" xmlns:vt="http://schemas.openxmlformats.org/officeDocument/2006/docPropsVTypes"/>
</file>