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F67B6" w14:textId="77777777" w:rsidR="00691BD6" w:rsidRDefault="00691BD6">
      <w:pPr>
        <w:spacing w:before="1600"/>
      </w:pPr>
    </w:p>
    <w:p w14:paraId="735AA27B" w14:textId="77777777" w:rsidR="00691BD6" w:rsidRDefault="00000000">
      <w:pPr>
        <w:jc w:val="center"/>
      </w:pPr>
      <w:r>
        <w:rPr>
          <w:b/>
          <w:bCs/>
          <w:color w:val="B08D3E"/>
          <w:sz w:val="30"/>
          <w:szCs w:val="30"/>
        </w:rPr>
        <w:t>RAY.IA</w:t>
      </w:r>
    </w:p>
    <w:p w14:paraId="77184224" w14:textId="77777777" w:rsidR="00691BD6" w:rsidRDefault="00000000">
      <w:pPr>
        <w:spacing w:before="300" w:after="200"/>
        <w:jc w:val="center"/>
      </w:pPr>
      <w:r>
        <w:rPr>
          <w:b/>
          <w:bCs/>
          <w:color w:val="1F3552"/>
          <w:sz w:val="40"/>
          <w:szCs w:val="40"/>
        </w:rPr>
        <w:t>Analisador Preditivo de Contratos com Prestadores de Saúde</w:t>
      </w:r>
    </w:p>
    <w:p w14:paraId="78AE49D9" w14:textId="77777777" w:rsidR="00691BD6" w:rsidRDefault="00000000">
      <w:pPr>
        <w:spacing w:after="600"/>
        <w:jc w:val="center"/>
      </w:pPr>
      <w:r>
        <w:rPr>
          <w:i/>
          <w:iCs/>
          <w:color w:val="0F6E6A"/>
          <w:sz w:val="22"/>
          <w:szCs w:val="22"/>
        </w:rPr>
        <w:t>Proposta de produto de IA para controle, antecipação, auditoria e rastreabilidade de contratos, faturamento e glosa — arquitetura local-</w:t>
      </w:r>
      <w:proofErr w:type="spellStart"/>
      <w:r>
        <w:rPr>
          <w:i/>
          <w:iCs/>
          <w:color w:val="0F6E6A"/>
          <w:sz w:val="22"/>
          <w:szCs w:val="22"/>
        </w:rPr>
        <w:t>first</w:t>
      </w:r>
      <w:proofErr w:type="spellEnd"/>
    </w:p>
    <w:p w14:paraId="515403E4" w14:textId="77777777" w:rsidR="00691BD6" w:rsidRDefault="00000000">
      <w:pPr>
        <w:spacing w:before="1200"/>
        <w:jc w:val="center"/>
      </w:pPr>
      <w:r>
        <w:rPr>
          <w:color w:val="5A5A5A"/>
          <w:sz w:val="18"/>
          <w:szCs w:val="18"/>
        </w:rPr>
        <w:t>Caso-base analisado: Unimed Maranhão do Sul × Centro Integrado de Tratamento Oncológico (</w:t>
      </w:r>
      <w:proofErr w:type="spellStart"/>
      <w:r>
        <w:rPr>
          <w:color w:val="5A5A5A"/>
          <w:sz w:val="18"/>
          <w:szCs w:val="18"/>
        </w:rPr>
        <w:t>Oncoradium</w:t>
      </w:r>
      <w:proofErr w:type="spellEnd"/>
      <w:r>
        <w:rPr>
          <w:color w:val="5A5A5A"/>
          <w:sz w:val="18"/>
          <w:szCs w:val="18"/>
        </w:rPr>
        <w:t>)</w:t>
      </w:r>
    </w:p>
    <w:p w14:paraId="1F2617A0" w14:textId="77777777" w:rsidR="00691BD6" w:rsidRDefault="00000000">
      <w:pPr>
        <w:spacing w:before="100"/>
        <w:jc w:val="center"/>
      </w:pPr>
      <w:r>
        <w:rPr>
          <w:color w:val="5A5A5A"/>
          <w:sz w:val="18"/>
          <w:szCs w:val="18"/>
        </w:rPr>
        <w:t>Setembro de 2026</w:t>
      </w:r>
    </w:p>
    <w:p w14:paraId="136507C8" w14:textId="77777777" w:rsidR="00691BD6" w:rsidRDefault="00000000">
      <w:pPr>
        <w:pBdr>
          <w:top w:val="single" w:sz="8" w:space="8" w:color="B08D3E"/>
        </w:pBdr>
        <w:spacing w:before="2400"/>
        <w:jc w:val="center"/>
      </w:pPr>
      <w:r>
        <w:rPr>
          <w:i/>
          <w:iCs/>
          <w:color w:val="5A5A5A"/>
          <w:sz w:val="16"/>
          <w:szCs w:val="16"/>
        </w:rPr>
        <w:t>Confidencial — uso interno RAY.IA. Dados de contrato e faturamento processados localmente, sem exportação para nuvem pública.</w:t>
      </w:r>
    </w:p>
    <w:p w14:paraId="25E82F0B" w14:textId="77777777" w:rsidR="00691BD6" w:rsidRDefault="00000000">
      <w:r>
        <w:br w:type="page"/>
      </w:r>
    </w:p>
    <w:p w14:paraId="576172FD" w14:textId="77777777" w:rsidR="00691BD6" w:rsidRDefault="00000000">
      <w:pPr>
        <w:pStyle w:val="Ttulo1"/>
        <w:pBdr>
          <w:bottom w:val="single" w:sz="6" w:space="4" w:color="1F3552"/>
        </w:pBdr>
        <w:spacing w:before="480" w:after="200"/>
      </w:pPr>
      <w:r>
        <w:rPr>
          <w:b/>
          <w:bCs/>
          <w:color w:val="1F3552"/>
          <w:sz w:val="30"/>
          <w:szCs w:val="30"/>
        </w:rPr>
        <w:lastRenderedPageBreak/>
        <w:t>Sumário executivo</w:t>
      </w:r>
    </w:p>
    <w:p w14:paraId="50854460" w14:textId="77777777" w:rsidR="00691BD6" w:rsidRDefault="00000000">
      <w:pPr>
        <w:spacing w:after="160" w:line="300" w:lineRule="auto"/>
        <w:jc w:val="both"/>
      </w:pPr>
      <w:r>
        <w:rPr>
          <w:color w:val="222222"/>
          <w:sz w:val="21"/>
          <w:szCs w:val="21"/>
        </w:rPr>
        <w:t xml:space="preserve">Este documento propõe um produto de IA — um “analisador preditivo de contratos com prestadores” — para operadoras de plano de saúde e/ou prestadores de serviços (hospitais, laboratórios, clínicas, centros de imagem, home </w:t>
      </w:r>
      <w:proofErr w:type="spellStart"/>
      <w:r>
        <w:rPr>
          <w:color w:val="222222"/>
          <w:sz w:val="21"/>
          <w:szCs w:val="21"/>
        </w:rPr>
        <w:t>care</w:t>
      </w:r>
      <w:proofErr w:type="spellEnd"/>
      <w:r>
        <w:rPr>
          <w:color w:val="222222"/>
          <w:sz w:val="21"/>
          <w:szCs w:val="21"/>
        </w:rPr>
        <w:t>, maternidades). O objetivo central é duplo: do lado da operadora, reduzir desperdício e pagamento indevido; do lado do prestador, dar clareza de faturamento antes do envio da guia e reduzir glosa. Os dois objetivos são, na prática, a mesma capacidade vista de ângulos opostos: saber, com antecedência e com base no contrato vigente (não no contrato original, mas na soma de todos os aditivos, cartas e comunicados que o alteram), quanto um atendimento vai gerar de receita ou custo, e se há risco de glosa, descredenciamento ou não conformidade regulatória.</w:t>
      </w:r>
    </w:p>
    <w:p w14:paraId="239D095E" w14:textId="77777777" w:rsidR="00691BD6" w:rsidRDefault="00000000">
      <w:pPr>
        <w:spacing w:after="160" w:line="300" w:lineRule="auto"/>
        <w:jc w:val="both"/>
      </w:pPr>
      <w:r>
        <w:rPr>
          <w:color w:val="222222"/>
          <w:sz w:val="21"/>
          <w:szCs w:val="21"/>
        </w:rPr>
        <w:t xml:space="preserve">A base concreta desta proposta é o pacote de documentos enviado por você: o contrato de prestação de serviços entre a Unimed Maranhão do Sul e o Centro Integrado de Tratamento Oncológico Ltda. (marca </w:t>
      </w:r>
      <w:proofErr w:type="spellStart"/>
      <w:r>
        <w:rPr>
          <w:color w:val="222222"/>
          <w:sz w:val="21"/>
          <w:szCs w:val="21"/>
        </w:rPr>
        <w:t>Oncoradium</w:t>
      </w:r>
      <w:proofErr w:type="spellEnd"/>
      <w:r>
        <w:rPr>
          <w:color w:val="222222"/>
          <w:sz w:val="21"/>
          <w:szCs w:val="21"/>
        </w:rPr>
        <w:t>/REDEONCO), firmado em 01/10/2020, e três alterações supervenientes entre fevereiro e agosto de 2024. Esse conjunto — pequeno, mas real — já contém, em miniatura, praticamente todos os padrões de risco que o produto precisa tratar: mudança unilateral de cobertura, defasagem entre evento e formalização contratual, inclusão retroativa de códigos de faturamento, exigências regulatórias com prazo e documentação extensa, e cláusulas de dados pessoais com SLA de notificação de incidente. Cada seção deste documento usa esse caso como referência concreta antes de generalizar para os demais tipos de prestador.</w:t>
      </w:r>
    </w:p>
    <w:p w14:paraId="5A7D239A" w14:textId="77777777" w:rsidR="00691BD6" w:rsidRDefault="00000000">
      <w:pPr>
        <w:spacing w:after="160" w:line="300" w:lineRule="auto"/>
        <w:jc w:val="both"/>
      </w:pPr>
      <w:r>
        <w:rPr>
          <w:color w:val="222222"/>
          <w:sz w:val="21"/>
          <w:szCs w:val="21"/>
        </w:rPr>
        <w:t xml:space="preserve">Por se tratar de dados contratuais e de faturamento — comercialmente sensíveis e, no caso de guias e </w:t>
      </w:r>
      <w:proofErr w:type="spellStart"/>
      <w:r>
        <w:rPr>
          <w:color w:val="222222"/>
          <w:sz w:val="21"/>
          <w:szCs w:val="21"/>
        </w:rPr>
        <w:t>beneficiaários</w:t>
      </w:r>
      <w:proofErr w:type="spellEnd"/>
      <w:r>
        <w:rPr>
          <w:color w:val="222222"/>
          <w:sz w:val="21"/>
          <w:szCs w:val="21"/>
        </w:rPr>
        <w:t>, dados pessoais de saúde sob a LGPD — a arquitetura proposta é local-</w:t>
      </w:r>
      <w:proofErr w:type="spellStart"/>
      <w:r>
        <w:rPr>
          <w:color w:val="222222"/>
          <w:sz w:val="21"/>
          <w:szCs w:val="21"/>
        </w:rPr>
        <w:t>first</w:t>
      </w:r>
      <w:proofErr w:type="spellEnd"/>
      <w:r>
        <w:rPr>
          <w:color w:val="222222"/>
          <w:sz w:val="21"/>
          <w:szCs w:val="21"/>
        </w:rPr>
        <w:t xml:space="preserve">: processamento </w:t>
      </w:r>
      <w:proofErr w:type="spellStart"/>
      <w:r>
        <w:rPr>
          <w:color w:val="222222"/>
          <w:sz w:val="21"/>
          <w:szCs w:val="21"/>
        </w:rPr>
        <w:t>on-premise</w:t>
      </w:r>
      <w:proofErr w:type="spellEnd"/>
      <w:r>
        <w:rPr>
          <w:color w:val="222222"/>
          <w:sz w:val="21"/>
          <w:szCs w:val="21"/>
        </w:rPr>
        <w:t xml:space="preserve"> ou </w:t>
      </w:r>
      <w:proofErr w:type="spellStart"/>
      <w:r>
        <w:rPr>
          <w:color w:val="222222"/>
          <w:sz w:val="21"/>
          <w:szCs w:val="21"/>
        </w:rPr>
        <w:t>on</w:t>
      </w:r>
      <w:proofErr w:type="spellEnd"/>
      <w:r>
        <w:rPr>
          <w:color w:val="222222"/>
          <w:sz w:val="21"/>
          <w:szCs w:val="21"/>
        </w:rPr>
        <w:t xml:space="preserve">-device, sem envio de documentos, guias ou dados de </w:t>
      </w:r>
      <w:proofErr w:type="spellStart"/>
      <w:r>
        <w:rPr>
          <w:color w:val="222222"/>
          <w:sz w:val="21"/>
          <w:szCs w:val="21"/>
        </w:rPr>
        <w:t>beneficiaríos</w:t>
      </w:r>
      <w:proofErr w:type="spellEnd"/>
      <w:r>
        <w:rPr>
          <w:color w:val="222222"/>
          <w:sz w:val="21"/>
          <w:szCs w:val="21"/>
        </w:rPr>
        <w:t xml:space="preserve"> a serviços de nuvem pública. A seção 7 detalha como isso se encaixa na infraestrutura </w:t>
      </w:r>
      <w:proofErr w:type="spellStart"/>
      <w:r>
        <w:rPr>
          <w:color w:val="222222"/>
          <w:sz w:val="21"/>
          <w:szCs w:val="21"/>
        </w:rPr>
        <w:t>multimodelo</w:t>
      </w:r>
      <w:proofErr w:type="spellEnd"/>
      <w:r>
        <w:rPr>
          <w:color w:val="222222"/>
          <w:sz w:val="21"/>
          <w:szCs w:val="21"/>
        </w:rPr>
        <w:t xml:space="preserve"> já usada internamente na RAY.IA.</w:t>
      </w:r>
    </w:p>
    <w:p w14:paraId="0DCBBD97" w14:textId="77777777" w:rsidR="00691BD6" w:rsidRDefault="00000000">
      <w:pPr>
        <w:pStyle w:val="Ttulo1"/>
        <w:pBdr>
          <w:bottom w:val="single" w:sz="6" w:space="4" w:color="1F3552"/>
        </w:pBdr>
        <w:spacing w:before="480" w:after="200"/>
      </w:pPr>
      <w:r>
        <w:rPr>
          <w:b/>
          <w:bCs/>
          <w:color w:val="1F3552"/>
          <w:sz w:val="30"/>
          <w:szCs w:val="30"/>
        </w:rPr>
        <w:t>1. Contexto: o que o caso-base revela</w:t>
      </w:r>
    </w:p>
    <w:p w14:paraId="5C34F9E2" w14:textId="77777777" w:rsidR="00691BD6" w:rsidRDefault="00000000">
      <w:pPr>
        <w:spacing w:after="160" w:line="300" w:lineRule="auto"/>
        <w:jc w:val="both"/>
      </w:pPr>
      <w:r>
        <w:rPr>
          <w:color w:val="222222"/>
          <w:sz w:val="21"/>
          <w:szCs w:val="21"/>
        </w:rPr>
        <w:t>Os cinco documentos enviados formam uma linha do tempo curta, mas densa. Reconstruída em ordem cronológica:</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4700"/>
      </w:tblGrid>
      <w:tr w:rsidR="00691BD6" w14:paraId="55C080FD" w14:textId="77777777">
        <w:tblPrEx>
          <w:tblCellMar>
            <w:top w:w="0" w:type="dxa"/>
            <w:bottom w:w="0" w:type="dxa"/>
          </w:tblCellMar>
        </w:tblPrEx>
        <w:trPr>
          <w:tblHeader/>
        </w:trPr>
        <w:tc>
          <w:tcPr>
            <w:tcW w:w="1600" w:type="dxa"/>
            <w:shd w:val="clear" w:color="auto" w:fill="1F3552"/>
            <w:tcMar>
              <w:top w:w="100" w:type="dxa"/>
              <w:left w:w="120" w:type="dxa"/>
              <w:bottom w:w="100" w:type="dxa"/>
              <w:right w:w="120" w:type="dxa"/>
            </w:tcMar>
            <w:vAlign w:val="center"/>
          </w:tcPr>
          <w:p w14:paraId="77633D7F" w14:textId="77777777" w:rsidR="00691BD6" w:rsidRDefault="00000000">
            <w:r>
              <w:rPr>
                <w:b/>
                <w:bCs/>
                <w:color w:val="FFFFFF"/>
                <w:sz w:val="19"/>
                <w:szCs w:val="19"/>
              </w:rPr>
              <w:t>Data</w:t>
            </w:r>
          </w:p>
        </w:tc>
        <w:tc>
          <w:tcPr>
            <w:tcW w:w="4300" w:type="dxa"/>
            <w:shd w:val="clear" w:color="auto" w:fill="1F3552"/>
            <w:tcMar>
              <w:top w:w="100" w:type="dxa"/>
              <w:left w:w="120" w:type="dxa"/>
              <w:bottom w:w="100" w:type="dxa"/>
              <w:right w:w="120" w:type="dxa"/>
            </w:tcMar>
            <w:vAlign w:val="center"/>
          </w:tcPr>
          <w:p w14:paraId="353B2EA5" w14:textId="77777777" w:rsidR="00691BD6" w:rsidRDefault="00000000">
            <w:r>
              <w:rPr>
                <w:b/>
                <w:bCs/>
                <w:color w:val="FFFFFF"/>
                <w:sz w:val="19"/>
                <w:szCs w:val="19"/>
              </w:rPr>
              <w:t>Evento</w:t>
            </w:r>
          </w:p>
        </w:tc>
        <w:tc>
          <w:tcPr>
            <w:tcW w:w="4700" w:type="dxa"/>
            <w:shd w:val="clear" w:color="auto" w:fill="1F3552"/>
            <w:tcMar>
              <w:top w:w="100" w:type="dxa"/>
              <w:left w:w="120" w:type="dxa"/>
              <w:bottom w:w="100" w:type="dxa"/>
              <w:right w:w="120" w:type="dxa"/>
            </w:tcMar>
            <w:vAlign w:val="center"/>
          </w:tcPr>
          <w:p w14:paraId="3A792D02" w14:textId="77777777" w:rsidR="00691BD6" w:rsidRDefault="00000000">
            <w:r>
              <w:rPr>
                <w:b/>
                <w:bCs/>
                <w:color w:val="FFFFFF"/>
                <w:sz w:val="19"/>
                <w:szCs w:val="19"/>
              </w:rPr>
              <w:t>O que muda no contrato</w:t>
            </w:r>
          </w:p>
        </w:tc>
      </w:tr>
      <w:tr w:rsidR="00691BD6" w14:paraId="665FC729" w14:textId="77777777">
        <w:tblPrEx>
          <w:tblCellMar>
            <w:top w:w="0" w:type="dxa"/>
            <w:bottom w:w="0" w:type="dxa"/>
          </w:tblCellMar>
        </w:tblPrEx>
        <w:tc>
          <w:tcPr>
            <w:tcW w:w="1600" w:type="dxa"/>
            <w:tcMar>
              <w:top w:w="100" w:type="dxa"/>
              <w:left w:w="120" w:type="dxa"/>
              <w:bottom w:w="100" w:type="dxa"/>
              <w:right w:w="120" w:type="dxa"/>
            </w:tcMar>
            <w:vAlign w:val="center"/>
          </w:tcPr>
          <w:p w14:paraId="55214CE4" w14:textId="77777777" w:rsidR="00691BD6" w:rsidRDefault="00000000">
            <w:r>
              <w:rPr>
                <w:color w:val="222222"/>
                <w:sz w:val="19"/>
                <w:szCs w:val="19"/>
              </w:rPr>
              <w:t>01/10/2020</w:t>
            </w:r>
          </w:p>
        </w:tc>
        <w:tc>
          <w:tcPr>
            <w:tcW w:w="4300" w:type="dxa"/>
            <w:tcMar>
              <w:top w:w="100" w:type="dxa"/>
              <w:left w:w="120" w:type="dxa"/>
              <w:bottom w:w="100" w:type="dxa"/>
              <w:right w:w="120" w:type="dxa"/>
            </w:tcMar>
            <w:vAlign w:val="center"/>
          </w:tcPr>
          <w:p w14:paraId="798F9EA4" w14:textId="77777777" w:rsidR="00691BD6" w:rsidRDefault="00000000">
            <w:r>
              <w:rPr>
                <w:color w:val="222222"/>
                <w:sz w:val="19"/>
                <w:szCs w:val="19"/>
              </w:rPr>
              <w:t>Assinatura do contrato original</w:t>
            </w:r>
          </w:p>
        </w:tc>
        <w:tc>
          <w:tcPr>
            <w:tcW w:w="4700" w:type="dxa"/>
            <w:tcMar>
              <w:top w:w="100" w:type="dxa"/>
              <w:left w:w="120" w:type="dxa"/>
              <w:bottom w:w="100" w:type="dxa"/>
              <w:right w:w="120" w:type="dxa"/>
            </w:tcMar>
            <w:vAlign w:val="center"/>
          </w:tcPr>
          <w:p w14:paraId="15C5F54A" w14:textId="77777777" w:rsidR="00691BD6" w:rsidRDefault="00000000">
            <w:r>
              <w:rPr>
                <w:color w:val="222222"/>
                <w:sz w:val="19"/>
                <w:szCs w:val="19"/>
              </w:rPr>
              <w:t>Objeto e condições-base de prestação de serviços oncológicos</w:t>
            </w:r>
          </w:p>
        </w:tc>
      </w:tr>
      <w:tr w:rsidR="00691BD6" w14:paraId="05AC3C26" w14:textId="77777777">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14:paraId="03686157" w14:textId="77777777" w:rsidR="00691BD6" w:rsidRDefault="00000000">
            <w:r>
              <w:rPr>
                <w:color w:val="222222"/>
                <w:sz w:val="19"/>
                <w:szCs w:val="19"/>
              </w:rPr>
              <w:t>13/03/2024</w:t>
            </w:r>
          </w:p>
        </w:tc>
        <w:tc>
          <w:tcPr>
            <w:tcW w:w="4300" w:type="dxa"/>
            <w:shd w:val="clear" w:color="auto" w:fill="F2F2F2"/>
            <w:tcMar>
              <w:top w:w="100" w:type="dxa"/>
              <w:left w:w="120" w:type="dxa"/>
              <w:bottom w:w="100" w:type="dxa"/>
              <w:right w:w="120" w:type="dxa"/>
            </w:tcMar>
            <w:vAlign w:val="center"/>
          </w:tcPr>
          <w:p w14:paraId="566AFA3B" w14:textId="77777777" w:rsidR="00691BD6" w:rsidRDefault="00000000">
            <w:r>
              <w:rPr>
                <w:color w:val="222222"/>
                <w:sz w:val="19"/>
                <w:szCs w:val="19"/>
              </w:rPr>
              <w:t>Notificação do prestador à operadora sobre suspensão dos atendimentos de radioterapia</w:t>
            </w:r>
          </w:p>
        </w:tc>
        <w:tc>
          <w:tcPr>
            <w:tcW w:w="4700" w:type="dxa"/>
            <w:shd w:val="clear" w:color="auto" w:fill="F2F2F2"/>
            <w:tcMar>
              <w:top w:w="100" w:type="dxa"/>
              <w:left w:w="120" w:type="dxa"/>
              <w:bottom w:w="100" w:type="dxa"/>
              <w:right w:w="120" w:type="dxa"/>
            </w:tcMar>
            <w:vAlign w:val="center"/>
          </w:tcPr>
          <w:p w14:paraId="610E890A" w14:textId="77777777" w:rsidR="00691BD6" w:rsidRDefault="00000000">
            <w:r>
              <w:rPr>
                <w:color w:val="222222"/>
                <w:sz w:val="19"/>
                <w:szCs w:val="19"/>
              </w:rPr>
              <w:t>Evento operacional que só seria formalizado em aditivo 4 meses depois</w:t>
            </w:r>
          </w:p>
        </w:tc>
      </w:tr>
      <w:tr w:rsidR="00691BD6" w14:paraId="2689049B" w14:textId="77777777">
        <w:tblPrEx>
          <w:tblCellMar>
            <w:top w:w="0" w:type="dxa"/>
            <w:bottom w:w="0" w:type="dxa"/>
          </w:tblCellMar>
        </w:tblPrEx>
        <w:tc>
          <w:tcPr>
            <w:tcW w:w="1600" w:type="dxa"/>
            <w:tcMar>
              <w:top w:w="100" w:type="dxa"/>
              <w:left w:w="120" w:type="dxa"/>
              <w:bottom w:w="100" w:type="dxa"/>
              <w:right w:w="120" w:type="dxa"/>
            </w:tcMar>
            <w:vAlign w:val="center"/>
          </w:tcPr>
          <w:p w14:paraId="3B8C266B" w14:textId="77777777" w:rsidR="00691BD6" w:rsidRDefault="00000000">
            <w:r>
              <w:rPr>
                <w:color w:val="222222"/>
                <w:sz w:val="19"/>
                <w:szCs w:val="19"/>
              </w:rPr>
              <w:t>01/02/2024*</w:t>
            </w:r>
          </w:p>
        </w:tc>
        <w:tc>
          <w:tcPr>
            <w:tcW w:w="4300" w:type="dxa"/>
            <w:tcMar>
              <w:top w:w="100" w:type="dxa"/>
              <w:left w:w="120" w:type="dxa"/>
              <w:bottom w:w="100" w:type="dxa"/>
              <w:right w:w="120" w:type="dxa"/>
            </w:tcMar>
            <w:vAlign w:val="center"/>
          </w:tcPr>
          <w:p w14:paraId="0AAA9B95" w14:textId="77777777" w:rsidR="00691BD6" w:rsidRDefault="00000000">
            <w:r>
              <w:rPr>
                <w:color w:val="222222"/>
                <w:sz w:val="19"/>
                <w:szCs w:val="19"/>
              </w:rPr>
              <w:t>Vigência retroativa do 1º aditivo (assinado em fevereiro/2024)</w:t>
            </w:r>
          </w:p>
        </w:tc>
        <w:tc>
          <w:tcPr>
            <w:tcW w:w="4700" w:type="dxa"/>
            <w:tcMar>
              <w:top w:w="100" w:type="dxa"/>
              <w:left w:w="120" w:type="dxa"/>
              <w:bottom w:w="100" w:type="dxa"/>
              <w:right w:w="120" w:type="dxa"/>
            </w:tcMar>
            <w:vAlign w:val="center"/>
          </w:tcPr>
          <w:p w14:paraId="4E1F6C42" w14:textId="77777777" w:rsidR="00691BD6" w:rsidRDefault="00000000">
            <w:r>
              <w:rPr>
                <w:color w:val="222222"/>
                <w:sz w:val="19"/>
                <w:szCs w:val="19"/>
              </w:rPr>
              <w:t>Inclusão de RN510/22, RN507/22, cláusula LGPD detalhada, RDC 36/2013, protocolos clínicos, checklist cadastral</w:t>
            </w:r>
          </w:p>
        </w:tc>
      </w:tr>
      <w:tr w:rsidR="00691BD6" w14:paraId="27C75E56" w14:textId="77777777">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14:paraId="718285F9" w14:textId="77777777" w:rsidR="00691BD6" w:rsidRDefault="00000000">
            <w:r>
              <w:rPr>
                <w:color w:val="222222"/>
                <w:sz w:val="19"/>
                <w:szCs w:val="19"/>
              </w:rPr>
              <w:t>08/07/2024</w:t>
            </w:r>
          </w:p>
        </w:tc>
        <w:tc>
          <w:tcPr>
            <w:tcW w:w="4300" w:type="dxa"/>
            <w:shd w:val="clear" w:color="auto" w:fill="F2F2F2"/>
            <w:tcMar>
              <w:top w:w="100" w:type="dxa"/>
              <w:left w:w="120" w:type="dxa"/>
              <w:bottom w:w="100" w:type="dxa"/>
              <w:right w:w="120" w:type="dxa"/>
            </w:tcMar>
            <w:vAlign w:val="center"/>
          </w:tcPr>
          <w:p w14:paraId="375A8F3A" w14:textId="77777777" w:rsidR="00691BD6" w:rsidRDefault="00000000">
            <w:r>
              <w:rPr>
                <w:color w:val="222222"/>
                <w:sz w:val="19"/>
                <w:szCs w:val="19"/>
              </w:rPr>
              <w:t>2º aditivo assinado e vigente na mesma data</w:t>
            </w:r>
          </w:p>
        </w:tc>
        <w:tc>
          <w:tcPr>
            <w:tcW w:w="4700" w:type="dxa"/>
            <w:shd w:val="clear" w:color="auto" w:fill="F2F2F2"/>
            <w:tcMar>
              <w:top w:w="100" w:type="dxa"/>
              <w:left w:w="120" w:type="dxa"/>
              <w:bottom w:w="100" w:type="dxa"/>
              <w:right w:w="120" w:type="dxa"/>
            </w:tcMar>
            <w:vAlign w:val="center"/>
          </w:tcPr>
          <w:p w14:paraId="283581F5" w14:textId="77777777" w:rsidR="00691BD6" w:rsidRDefault="00000000">
            <w:r>
              <w:rPr>
                <w:color w:val="222222"/>
                <w:sz w:val="19"/>
                <w:szCs w:val="19"/>
              </w:rPr>
              <w:t>Exclusão do código 10101012 (consulta eletiva) — motivada pela notificação de 13/03</w:t>
            </w:r>
          </w:p>
        </w:tc>
      </w:tr>
      <w:tr w:rsidR="00691BD6" w14:paraId="6248BEA8" w14:textId="77777777">
        <w:tblPrEx>
          <w:tblCellMar>
            <w:top w:w="0" w:type="dxa"/>
            <w:bottom w:w="0" w:type="dxa"/>
          </w:tblCellMar>
        </w:tblPrEx>
        <w:tc>
          <w:tcPr>
            <w:tcW w:w="1600" w:type="dxa"/>
            <w:tcMar>
              <w:top w:w="100" w:type="dxa"/>
              <w:left w:w="120" w:type="dxa"/>
              <w:bottom w:w="100" w:type="dxa"/>
              <w:right w:w="120" w:type="dxa"/>
            </w:tcMar>
            <w:vAlign w:val="center"/>
          </w:tcPr>
          <w:p w14:paraId="267AC3EA" w14:textId="77777777" w:rsidR="00691BD6" w:rsidRDefault="00000000">
            <w:r>
              <w:rPr>
                <w:color w:val="222222"/>
                <w:sz w:val="19"/>
                <w:szCs w:val="19"/>
              </w:rPr>
              <w:t>06/08/2024</w:t>
            </w:r>
          </w:p>
        </w:tc>
        <w:tc>
          <w:tcPr>
            <w:tcW w:w="4300" w:type="dxa"/>
            <w:tcMar>
              <w:top w:w="100" w:type="dxa"/>
              <w:left w:w="120" w:type="dxa"/>
              <w:bottom w:w="100" w:type="dxa"/>
              <w:right w:w="120" w:type="dxa"/>
            </w:tcMar>
            <w:vAlign w:val="center"/>
          </w:tcPr>
          <w:p w14:paraId="4EBAA41A" w14:textId="77777777" w:rsidR="00691BD6" w:rsidRDefault="00000000">
            <w:r>
              <w:rPr>
                <w:color w:val="222222"/>
                <w:sz w:val="19"/>
                <w:szCs w:val="19"/>
              </w:rPr>
              <w:t>3º aditivo enviado para assinatura, vigência retroagindo a 01/08/2024</w:t>
            </w:r>
          </w:p>
        </w:tc>
        <w:tc>
          <w:tcPr>
            <w:tcW w:w="4700" w:type="dxa"/>
            <w:tcMar>
              <w:top w:w="100" w:type="dxa"/>
              <w:left w:w="120" w:type="dxa"/>
              <w:bottom w:w="100" w:type="dxa"/>
              <w:right w:w="120" w:type="dxa"/>
            </w:tcMar>
            <w:vAlign w:val="center"/>
          </w:tcPr>
          <w:p w14:paraId="693646D8" w14:textId="77777777" w:rsidR="00691BD6" w:rsidRDefault="00000000">
            <w:r>
              <w:rPr>
                <w:color w:val="222222"/>
                <w:sz w:val="19"/>
                <w:szCs w:val="19"/>
              </w:rPr>
              <w:t>Inclusão de 4 códigos de taxa de sala de quimioterapia (R$ 325 a R$ 400)</w:t>
            </w:r>
          </w:p>
        </w:tc>
      </w:tr>
    </w:tbl>
    <w:p w14:paraId="1BC72C58" w14:textId="77777777" w:rsidR="00691BD6" w:rsidRDefault="00000000">
      <w:pPr>
        <w:spacing w:after="160" w:line="300" w:lineRule="auto"/>
        <w:jc w:val="both"/>
      </w:pPr>
      <w:r>
        <w:rPr>
          <w:i/>
          <w:iCs/>
          <w:color w:val="222222"/>
          <w:sz w:val="21"/>
          <w:szCs w:val="21"/>
        </w:rPr>
        <w:t>* A data de vigência declarada no 1º aditivo antecede a própria assinatura do documento — padrão comum em aditivos de saúde suplementar, e um dos primeiros sinais que o produto precisa saber lidar de forma nativa, não como exceção.</w:t>
      </w:r>
    </w:p>
    <w:p w14:paraId="42FCE25E" w14:textId="77777777" w:rsidR="00691BD6" w:rsidRDefault="00000000">
      <w:pPr>
        <w:pStyle w:val="Ttulo2"/>
        <w:spacing w:before="360" w:after="160"/>
      </w:pPr>
      <w:r>
        <w:rPr>
          <w:b/>
          <w:bCs/>
          <w:color w:val="0F6E6A"/>
          <w:sz w:val="24"/>
          <w:szCs w:val="24"/>
        </w:rPr>
        <w:t>1.1 Padrões de risco identificados</w:t>
      </w:r>
    </w:p>
    <w:p w14:paraId="7A85050A" w14:textId="77777777" w:rsidR="00691BD6" w:rsidRDefault="00000000">
      <w:pPr>
        <w:spacing w:after="160" w:line="300" w:lineRule="auto"/>
        <w:jc w:val="both"/>
      </w:pPr>
      <w:r>
        <w:rPr>
          <w:color w:val="222222"/>
          <w:sz w:val="21"/>
          <w:szCs w:val="21"/>
        </w:rPr>
        <w:t>Seis padrões se repetem neste caso e são generalizáveis a qualquer contrato prestador–operadora:</w:t>
      </w:r>
    </w:p>
    <w:p w14:paraId="5C1F491E" w14:textId="77777777" w:rsidR="00691BD6" w:rsidRDefault="00000000">
      <w:pPr>
        <w:pStyle w:val="PargrafodaLista"/>
        <w:numPr>
          <w:ilvl w:val="0"/>
          <w:numId w:val="2"/>
        </w:numPr>
        <w:spacing w:after="100" w:line="280" w:lineRule="auto"/>
      </w:pPr>
      <w:r>
        <w:rPr>
          <w:color w:val="222222"/>
          <w:sz w:val="21"/>
          <w:szCs w:val="21"/>
        </w:rPr>
        <w:lastRenderedPageBreak/>
        <w:t>Defasagem evento → formalização: quase quatro meses entre a notificação de suspensão de radioterapia (13/03) e o aditivo que dela decorre (08/07). Nesse intervalo, qualquer guia emitida com o código antigo está em zona cinzenta — pode ser negada retroativamente ou gerar glosa por desalinhamento de datas.</w:t>
      </w:r>
    </w:p>
    <w:p w14:paraId="3744E0BC" w14:textId="77777777" w:rsidR="00691BD6" w:rsidRDefault="00000000">
      <w:pPr>
        <w:pStyle w:val="PargrafodaLista"/>
        <w:numPr>
          <w:ilvl w:val="0"/>
          <w:numId w:val="2"/>
        </w:numPr>
        <w:spacing w:after="100" w:line="280" w:lineRule="auto"/>
      </w:pPr>
      <w:r>
        <w:rPr>
          <w:color w:val="222222"/>
          <w:sz w:val="21"/>
          <w:szCs w:val="21"/>
        </w:rPr>
        <w:t xml:space="preserve">Vigência retroativa: aditivos frequentemente declaram vigência anterior à data de assinatura (o de 06/08 retroage a 01/08). Sem um </w:t>
      </w:r>
      <w:proofErr w:type="spellStart"/>
      <w:r>
        <w:rPr>
          <w:color w:val="222222"/>
          <w:sz w:val="21"/>
          <w:szCs w:val="21"/>
        </w:rPr>
        <w:t>dossié</w:t>
      </w:r>
      <w:proofErr w:type="spellEnd"/>
      <w:r>
        <w:rPr>
          <w:color w:val="222222"/>
          <w:sz w:val="21"/>
          <w:szCs w:val="21"/>
        </w:rPr>
        <w:t xml:space="preserve"> vivo do contrato, o sistema de faturamento do prestador pode continuar cobrando pela tabela antiga durante dias ou semanas.</w:t>
      </w:r>
    </w:p>
    <w:p w14:paraId="686E6828" w14:textId="77777777" w:rsidR="00691BD6" w:rsidRDefault="00000000">
      <w:pPr>
        <w:pStyle w:val="PargrafodaLista"/>
        <w:numPr>
          <w:ilvl w:val="0"/>
          <w:numId w:val="2"/>
        </w:numPr>
        <w:spacing w:after="100" w:line="280" w:lineRule="auto"/>
      </w:pPr>
      <w:r>
        <w:rPr>
          <w:color w:val="222222"/>
          <w:sz w:val="21"/>
          <w:szCs w:val="21"/>
        </w:rPr>
        <w:t>Alteração unilateral de cobertura com efeito em cascata: a exclusão do código 10101012 obrigou o prestador a emitir comunicado próprio a pacientes sobre reembolso — ou seja, o impacto não fica só no faturamento B2B, chega ao paciente final.</w:t>
      </w:r>
    </w:p>
    <w:p w14:paraId="6E9EBAE4" w14:textId="77777777" w:rsidR="00691BD6" w:rsidRDefault="00000000">
      <w:pPr>
        <w:pStyle w:val="PargrafodaLista"/>
        <w:numPr>
          <w:ilvl w:val="0"/>
          <w:numId w:val="2"/>
        </w:numPr>
        <w:spacing w:after="100" w:line="280" w:lineRule="auto"/>
      </w:pPr>
      <w:r>
        <w:rPr>
          <w:color w:val="222222"/>
          <w:sz w:val="21"/>
          <w:szCs w:val="21"/>
        </w:rPr>
        <w:t>Inclusão de novos códigos exige propagação imediata: os quatro códigos de taxa de sala de quimioterapia só geram receita correta se forem cadastrados no sistema de faturamento do prestador no mesmo dia da vigência — não no dia em que o papel chega assinado.</w:t>
      </w:r>
    </w:p>
    <w:p w14:paraId="5A74C067" w14:textId="77777777" w:rsidR="00691BD6" w:rsidRDefault="00000000">
      <w:pPr>
        <w:pStyle w:val="PargrafodaLista"/>
        <w:numPr>
          <w:ilvl w:val="0"/>
          <w:numId w:val="2"/>
        </w:numPr>
        <w:spacing w:after="100" w:line="280" w:lineRule="auto"/>
      </w:pPr>
      <w:r>
        <w:rPr>
          <w:color w:val="222222"/>
          <w:sz w:val="21"/>
          <w:szCs w:val="21"/>
        </w:rPr>
        <w:t>Exigências regulatórias com checklist extenso e sem data de vencimento explícita: o aditivo de fevereiro lista 12 documentos cadastrais obrigatórios (contrato social, alvarás, CNES, PGRSS, documentação do corpo clínico etc.) atrelados à RN510/22 da ANS, cada um com prazo de validade próprio que precisa ser monitorado à parte.</w:t>
      </w:r>
    </w:p>
    <w:p w14:paraId="4C0607C2" w14:textId="77777777" w:rsidR="00691BD6" w:rsidRDefault="00000000">
      <w:pPr>
        <w:pStyle w:val="PargrafodaLista"/>
        <w:numPr>
          <w:ilvl w:val="0"/>
          <w:numId w:val="2"/>
        </w:numPr>
        <w:spacing w:after="100" w:line="280" w:lineRule="auto"/>
      </w:pPr>
      <w:r>
        <w:rPr>
          <w:color w:val="222222"/>
          <w:sz w:val="21"/>
          <w:szCs w:val="21"/>
        </w:rPr>
        <w:t>Obrigações de dados pessoais com SLA curto e responsabilidade civil/criminal: notificação de incidente de segurança à outra parte “imediatamente”, e de ordem judicial de acesso a dados em até 24 horas — prazos que precisam de rastreamento ativo, não de leitura pontual do contrato.</w:t>
      </w:r>
    </w:p>
    <w:p w14:paraId="1E647D3D" w14:textId="77777777" w:rsidR="00691BD6" w:rsidRDefault="00000000">
      <w:pPr>
        <w:spacing w:after="160" w:line="300" w:lineRule="auto"/>
        <w:jc w:val="both"/>
      </w:pPr>
      <w:r>
        <w:rPr>
          <w:color w:val="222222"/>
          <w:sz w:val="21"/>
          <w:szCs w:val="21"/>
        </w:rPr>
        <w:t>O contrato também prevê, explicitamente, o direito de qualquer parte auditar sistemas e procedimentos internos da outra mediante notificação prévia (cláusula de auditoria do 1º aditivo) — o que dá respaldo contratual direto ao uso de um auditor de IA por qualquer um dos lados.</w:t>
      </w:r>
    </w:p>
    <w:p w14:paraId="102545E2" w14:textId="77777777" w:rsidR="00691BD6" w:rsidRDefault="00000000">
      <w:r>
        <w:br w:type="page"/>
      </w:r>
    </w:p>
    <w:p w14:paraId="00F6B5D7" w14:textId="77777777" w:rsidR="00691BD6" w:rsidRDefault="00000000">
      <w:pPr>
        <w:pStyle w:val="Ttulo1"/>
        <w:pBdr>
          <w:bottom w:val="single" w:sz="6" w:space="4" w:color="1F3552"/>
        </w:pBdr>
        <w:spacing w:before="480" w:after="200"/>
      </w:pPr>
      <w:r>
        <w:rPr>
          <w:b/>
          <w:bCs/>
          <w:color w:val="1F3552"/>
          <w:sz w:val="30"/>
          <w:szCs w:val="30"/>
        </w:rPr>
        <w:lastRenderedPageBreak/>
        <w:t>2. Objetivo e visão do produto</w:t>
      </w:r>
    </w:p>
    <w:p w14:paraId="13AA9834" w14:textId="77777777" w:rsidR="00691BD6" w:rsidRDefault="00000000">
      <w:pPr>
        <w:spacing w:after="160" w:line="300" w:lineRule="auto"/>
        <w:jc w:val="both"/>
      </w:pPr>
      <w:r>
        <w:rPr>
          <w:color w:val="222222"/>
          <w:sz w:val="21"/>
          <w:szCs w:val="21"/>
        </w:rPr>
        <w:t>O produto é um sistema de IA que mantém, para cada contrato prestador–operadora, um “dossiê vivo” consolidado — a soma processada do contrato original com todos os aditivos, cartas, comunicados e notificações que o alteram — e usa esse dossiê para prever, antes do fato, o resultado financeiro e o risco de cada atendimento ou guia. O produto não substitui o jurídico nem a auditoria médica: funciona como segunda opinião automática, rápida e sempre atualizada, que roda antes do envio da guia (</w:t>
      </w:r>
      <w:proofErr w:type="spellStart"/>
      <w:r>
        <w:rPr>
          <w:color w:val="222222"/>
          <w:sz w:val="21"/>
          <w:szCs w:val="21"/>
        </w:rPr>
        <w:t>on</w:t>
      </w:r>
      <w:proofErr w:type="spellEnd"/>
      <w:r>
        <w:rPr>
          <w:color w:val="222222"/>
          <w:sz w:val="21"/>
          <w:szCs w:val="21"/>
        </w:rPr>
        <w:t xml:space="preserve"> time / </w:t>
      </w:r>
      <w:proofErr w:type="spellStart"/>
      <w:r>
        <w:rPr>
          <w:color w:val="222222"/>
          <w:sz w:val="21"/>
          <w:szCs w:val="21"/>
        </w:rPr>
        <w:t>on</w:t>
      </w:r>
      <w:proofErr w:type="spellEnd"/>
      <w:r>
        <w:rPr>
          <w:color w:val="222222"/>
          <w:sz w:val="21"/>
          <w:szCs w:val="21"/>
        </w:rPr>
        <w:t xml:space="preserve"> </w:t>
      </w:r>
      <w:proofErr w:type="spellStart"/>
      <w:r>
        <w:rPr>
          <w:color w:val="222222"/>
          <w:sz w:val="21"/>
          <w:szCs w:val="21"/>
        </w:rPr>
        <w:t>demand</w:t>
      </w:r>
      <w:proofErr w:type="spellEnd"/>
      <w:r>
        <w:rPr>
          <w:color w:val="222222"/>
          <w:sz w:val="21"/>
          <w:szCs w:val="21"/>
        </w:rPr>
        <w:t>) e sinaliza divergências para revisão humana.</w:t>
      </w:r>
    </w:p>
    <w:p w14:paraId="129DC4FB" w14:textId="77777777" w:rsidR="00691BD6" w:rsidRDefault="00000000">
      <w:pPr>
        <w:pStyle w:val="Ttulo2"/>
        <w:spacing w:before="360" w:after="160"/>
      </w:pPr>
      <w:r>
        <w:rPr>
          <w:b/>
          <w:bCs/>
          <w:color w:val="0F6E6A"/>
          <w:sz w:val="24"/>
          <w:szCs w:val="24"/>
        </w:rPr>
        <w:t>2.1 Dois lados, um mesmo motor</w:t>
      </w:r>
    </w:p>
    <w:p w14:paraId="499A981A" w14:textId="77777777" w:rsidR="00691BD6" w:rsidRDefault="00000000">
      <w:pPr>
        <w:spacing w:after="160" w:line="300" w:lineRule="auto"/>
        <w:jc w:val="both"/>
      </w:pPr>
      <w:r>
        <w:rPr>
          <w:color w:val="222222"/>
          <w:sz w:val="21"/>
          <w:szCs w:val="21"/>
        </w:rPr>
        <w:t>O mesmo motor de extração e predição serve a dois perfis de cliente, com painéis e prioridades diferentes: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4000"/>
      </w:tblGrid>
      <w:tr w:rsidR="00691BD6" w14:paraId="13A820E0" w14:textId="77777777">
        <w:tblPrEx>
          <w:tblCellMar>
            <w:top w:w="0" w:type="dxa"/>
            <w:bottom w:w="0" w:type="dxa"/>
          </w:tblCellMar>
        </w:tblPrEx>
        <w:trPr>
          <w:tblHeader/>
        </w:trPr>
        <w:tc>
          <w:tcPr>
            <w:tcW w:w="3200" w:type="dxa"/>
            <w:shd w:val="clear" w:color="auto" w:fill="1F3552"/>
            <w:tcMar>
              <w:top w:w="100" w:type="dxa"/>
              <w:left w:w="120" w:type="dxa"/>
              <w:bottom w:w="100" w:type="dxa"/>
              <w:right w:w="120" w:type="dxa"/>
            </w:tcMar>
            <w:vAlign w:val="center"/>
          </w:tcPr>
          <w:p w14:paraId="4ACA0782" w14:textId="77777777" w:rsidR="00691BD6" w:rsidRDefault="00000000">
            <w:r>
              <w:rPr>
                <w:b/>
                <w:bCs/>
                <w:color w:val="FFFFFF"/>
                <w:sz w:val="19"/>
                <w:szCs w:val="19"/>
              </w:rPr>
              <w:t>Perfil</w:t>
            </w:r>
          </w:p>
        </w:tc>
        <w:tc>
          <w:tcPr>
            <w:tcW w:w="3400" w:type="dxa"/>
            <w:shd w:val="clear" w:color="auto" w:fill="1F3552"/>
            <w:tcMar>
              <w:top w:w="100" w:type="dxa"/>
              <w:left w:w="120" w:type="dxa"/>
              <w:bottom w:w="100" w:type="dxa"/>
              <w:right w:w="120" w:type="dxa"/>
            </w:tcMar>
            <w:vAlign w:val="center"/>
          </w:tcPr>
          <w:p w14:paraId="438ED13B" w14:textId="77777777" w:rsidR="00691BD6" w:rsidRDefault="00000000">
            <w:r>
              <w:rPr>
                <w:b/>
                <w:bCs/>
                <w:color w:val="FFFFFF"/>
                <w:sz w:val="19"/>
                <w:szCs w:val="19"/>
              </w:rPr>
              <w:t>Dor principal</w:t>
            </w:r>
          </w:p>
        </w:tc>
        <w:tc>
          <w:tcPr>
            <w:tcW w:w="4000" w:type="dxa"/>
            <w:shd w:val="clear" w:color="auto" w:fill="1F3552"/>
            <w:tcMar>
              <w:top w:w="100" w:type="dxa"/>
              <w:left w:w="120" w:type="dxa"/>
              <w:bottom w:w="100" w:type="dxa"/>
              <w:right w:w="120" w:type="dxa"/>
            </w:tcMar>
            <w:vAlign w:val="center"/>
          </w:tcPr>
          <w:p w14:paraId="58FD9774" w14:textId="77777777" w:rsidR="00691BD6" w:rsidRDefault="00000000">
            <w:r>
              <w:rPr>
                <w:b/>
                <w:bCs/>
                <w:color w:val="FFFFFF"/>
                <w:sz w:val="19"/>
                <w:szCs w:val="19"/>
              </w:rPr>
              <w:t>O que o produto entrega</w:t>
            </w:r>
          </w:p>
        </w:tc>
      </w:tr>
      <w:tr w:rsidR="00691BD6" w14:paraId="1D9D1B53" w14:textId="77777777">
        <w:tblPrEx>
          <w:tblCellMar>
            <w:top w:w="0" w:type="dxa"/>
            <w:bottom w:w="0" w:type="dxa"/>
          </w:tblCellMar>
        </w:tblPrEx>
        <w:tc>
          <w:tcPr>
            <w:tcW w:w="3200" w:type="dxa"/>
            <w:tcMar>
              <w:top w:w="100" w:type="dxa"/>
              <w:left w:w="120" w:type="dxa"/>
              <w:bottom w:w="100" w:type="dxa"/>
              <w:right w:w="120" w:type="dxa"/>
            </w:tcMar>
            <w:vAlign w:val="center"/>
          </w:tcPr>
          <w:p w14:paraId="3401DBC9" w14:textId="77777777" w:rsidR="00691BD6" w:rsidRDefault="00000000">
            <w:r>
              <w:rPr>
                <w:color w:val="222222"/>
                <w:sz w:val="19"/>
                <w:szCs w:val="19"/>
              </w:rPr>
              <w:t>Operadora de plano de saúde</w:t>
            </w:r>
          </w:p>
        </w:tc>
        <w:tc>
          <w:tcPr>
            <w:tcW w:w="3400" w:type="dxa"/>
            <w:tcMar>
              <w:top w:w="100" w:type="dxa"/>
              <w:left w:w="120" w:type="dxa"/>
              <w:bottom w:w="100" w:type="dxa"/>
              <w:right w:w="120" w:type="dxa"/>
            </w:tcMar>
            <w:vAlign w:val="center"/>
          </w:tcPr>
          <w:p w14:paraId="46598084" w14:textId="77777777" w:rsidR="00691BD6" w:rsidRDefault="00000000">
            <w:r>
              <w:rPr>
                <w:color w:val="222222"/>
                <w:sz w:val="19"/>
                <w:szCs w:val="19"/>
              </w:rPr>
              <w:t>Desperdício, pagamento indevido, duplicidade, fraude leve, exposição regulatória por rede desatualizada</w:t>
            </w:r>
          </w:p>
        </w:tc>
        <w:tc>
          <w:tcPr>
            <w:tcW w:w="4000" w:type="dxa"/>
            <w:tcMar>
              <w:top w:w="100" w:type="dxa"/>
              <w:left w:w="120" w:type="dxa"/>
              <w:bottom w:w="100" w:type="dxa"/>
              <w:right w:w="120" w:type="dxa"/>
            </w:tcMar>
            <w:vAlign w:val="center"/>
          </w:tcPr>
          <w:p w14:paraId="72A42144" w14:textId="77777777" w:rsidR="00691BD6" w:rsidRDefault="00000000">
            <w:r>
              <w:rPr>
                <w:color w:val="222222"/>
                <w:sz w:val="19"/>
                <w:szCs w:val="19"/>
              </w:rPr>
              <w:t>Auditoria preditiva de guias antes do pagamento, radar de rede desconforme, mapa de exposição financeira por prestador/contrato</w:t>
            </w:r>
          </w:p>
        </w:tc>
      </w:tr>
      <w:tr w:rsidR="00691BD6" w14:paraId="139ACDCD"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2F2E0F1A" w14:textId="77777777" w:rsidR="00691BD6" w:rsidRDefault="00000000">
            <w:r>
              <w:rPr>
                <w:color w:val="222222"/>
                <w:sz w:val="19"/>
                <w:szCs w:val="19"/>
              </w:rPr>
              <w:t xml:space="preserve">Prestador (hospital, clínica, laboratório, home </w:t>
            </w:r>
            <w:proofErr w:type="spellStart"/>
            <w:r>
              <w:rPr>
                <w:color w:val="222222"/>
                <w:sz w:val="19"/>
                <w:szCs w:val="19"/>
              </w:rPr>
              <w:t>care</w:t>
            </w:r>
            <w:proofErr w:type="spellEnd"/>
            <w:r>
              <w:rPr>
                <w:color w:val="222222"/>
                <w:sz w:val="19"/>
                <w:szCs w:val="19"/>
              </w:rPr>
              <w:t>…)</w:t>
            </w:r>
          </w:p>
        </w:tc>
        <w:tc>
          <w:tcPr>
            <w:tcW w:w="3400" w:type="dxa"/>
            <w:shd w:val="clear" w:color="auto" w:fill="F2F2F2"/>
            <w:tcMar>
              <w:top w:w="100" w:type="dxa"/>
              <w:left w:w="120" w:type="dxa"/>
              <w:bottom w:w="100" w:type="dxa"/>
              <w:right w:w="120" w:type="dxa"/>
            </w:tcMar>
            <w:vAlign w:val="center"/>
          </w:tcPr>
          <w:p w14:paraId="15062B05" w14:textId="77777777" w:rsidR="00691BD6" w:rsidRDefault="00000000">
            <w:r>
              <w:rPr>
                <w:color w:val="222222"/>
                <w:sz w:val="19"/>
                <w:szCs w:val="19"/>
              </w:rPr>
              <w:t>Glosa, incerteza de faturamento, defasagem entre aditivo assinado e sistema de cobrança atualizado</w:t>
            </w:r>
          </w:p>
        </w:tc>
        <w:tc>
          <w:tcPr>
            <w:tcW w:w="4000" w:type="dxa"/>
            <w:shd w:val="clear" w:color="auto" w:fill="F2F2F2"/>
            <w:tcMar>
              <w:top w:w="100" w:type="dxa"/>
              <w:left w:w="120" w:type="dxa"/>
              <w:bottom w:w="100" w:type="dxa"/>
              <w:right w:w="120" w:type="dxa"/>
            </w:tcMar>
            <w:vAlign w:val="center"/>
          </w:tcPr>
          <w:p w14:paraId="28AD18BD" w14:textId="77777777" w:rsidR="00691BD6" w:rsidRDefault="00000000">
            <w:r>
              <w:rPr>
                <w:color w:val="222222"/>
                <w:sz w:val="19"/>
                <w:szCs w:val="19"/>
              </w:rPr>
              <w:t>Simulação de faturamento antes do envio da guia, alerta de código/valor desatualizado, evidência pronta para contestação de glosa</w:t>
            </w:r>
          </w:p>
        </w:tc>
      </w:tr>
    </w:tbl>
    <w:p w14:paraId="34D5DB5C" w14:textId="77777777" w:rsidR="00691BD6" w:rsidRDefault="00000000">
      <w:pPr>
        <w:spacing w:after="160" w:line="300" w:lineRule="auto"/>
        <w:jc w:val="both"/>
      </w:pPr>
      <w:r>
        <w:rPr>
          <w:color w:val="222222"/>
          <w:sz w:val="21"/>
          <w:szCs w:val="21"/>
        </w:rPr>
        <w:t>A RAY.IA pode oferecer os dois módulos separadamente (cada um vendido ao seu cliente natural) ou como uma visão dupla dentro do mesmo contrato — útil em situações como a do caso-base, em que ambas as partes têm interesse em reduzir a fricção contratual e o volume de disputas de glosa.</w:t>
      </w:r>
    </w:p>
    <w:p w14:paraId="0B4D2082" w14:textId="77777777" w:rsidR="00691BD6" w:rsidRDefault="00000000">
      <w:r>
        <w:br w:type="page"/>
      </w:r>
    </w:p>
    <w:p w14:paraId="28E4C4AA" w14:textId="77777777" w:rsidR="00691BD6" w:rsidRDefault="00000000">
      <w:pPr>
        <w:pStyle w:val="Ttulo1"/>
        <w:pBdr>
          <w:bottom w:val="single" w:sz="6" w:space="4" w:color="1F3552"/>
        </w:pBdr>
        <w:spacing w:before="480" w:after="200"/>
      </w:pPr>
      <w:r>
        <w:rPr>
          <w:b/>
          <w:bCs/>
          <w:color w:val="1F3552"/>
          <w:sz w:val="30"/>
          <w:szCs w:val="30"/>
        </w:rPr>
        <w:lastRenderedPageBreak/>
        <w:t>3. Matriz de controle: os nove verbos</w:t>
      </w:r>
    </w:p>
    <w:p w14:paraId="6B597264" w14:textId="77777777" w:rsidR="00691BD6" w:rsidRDefault="00000000">
      <w:pPr>
        <w:spacing w:after="160" w:line="300" w:lineRule="auto"/>
        <w:jc w:val="both"/>
      </w:pPr>
      <w:r>
        <w:rPr>
          <w:color w:val="222222"/>
          <w:sz w:val="21"/>
          <w:szCs w:val="21"/>
        </w:rPr>
        <w:t>Você listou nove ações que o produto precisa cobrir: controlar, antecipar, prever, dar segunda opinião, auditar, sinalizar, monitorar, rastrear e mapear. Cada uma é uma capacidade distinta do sistema, não um sinônimo das demais — a tabela abaixo define o que cada verbo significa operacionalmente e amarra ao caso-base.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4300"/>
      </w:tblGrid>
      <w:tr w:rsidR="00691BD6" w14:paraId="7C12E612" w14:textId="77777777">
        <w:tblPrEx>
          <w:tblCellMar>
            <w:top w:w="0" w:type="dxa"/>
            <w:bottom w:w="0" w:type="dxa"/>
          </w:tblCellMar>
        </w:tblPrEx>
        <w:trPr>
          <w:tblHeader/>
        </w:trPr>
        <w:tc>
          <w:tcPr>
            <w:tcW w:w="2000" w:type="dxa"/>
            <w:shd w:val="clear" w:color="auto" w:fill="1F3552"/>
            <w:tcMar>
              <w:top w:w="100" w:type="dxa"/>
              <w:left w:w="120" w:type="dxa"/>
              <w:bottom w:w="100" w:type="dxa"/>
              <w:right w:w="120" w:type="dxa"/>
            </w:tcMar>
            <w:vAlign w:val="center"/>
          </w:tcPr>
          <w:p w14:paraId="61864EDA" w14:textId="77777777" w:rsidR="00691BD6" w:rsidRDefault="00000000">
            <w:r>
              <w:rPr>
                <w:b/>
                <w:bCs/>
                <w:color w:val="FFFFFF"/>
                <w:sz w:val="19"/>
                <w:szCs w:val="19"/>
              </w:rPr>
              <w:t>Verbo</w:t>
            </w:r>
          </w:p>
        </w:tc>
        <w:tc>
          <w:tcPr>
            <w:tcW w:w="4300" w:type="dxa"/>
            <w:shd w:val="clear" w:color="auto" w:fill="1F3552"/>
            <w:tcMar>
              <w:top w:w="100" w:type="dxa"/>
              <w:left w:w="120" w:type="dxa"/>
              <w:bottom w:w="100" w:type="dxa"/>
              <w:right w:w="120" w:type="dxa"/>
            </w:tcMar>
            <w:vAlign w:val="center"/>
          </w:tcPr>
          <w:p w14:paraId="788BEA04" w14:textId="77777777" w:rsidR="00691BD6" w:rsidRDefault="00000000">
            <w:r>
              <w:rPr>
                <w:b/>
                <w:bCs/>
                <w:color w:val="FFFFFF"/>
                <w:sz w:val="19"/>
                <w:szCs w:val="19"/>
              </w:rPr>
              <w:t>O que significa no produto</w:t>
            </w:r>
          </w:p>
        </w:tc>
        <w:tc>
          <w:tcPr>
            <w:tcW w:w="4300" w:type="dxa"/>
            <w:shd w:val="clear" w:color="auto" w:fill="1F3552"/>
            <w:tcMar>
              <w:top w:w="100" w:type="dxa"/>
              <w:left w:w="120" w:type="dxa"/>
              <w:bottom w:w="100" w:type="dxa"/>
              <w:right w:w="120" w:type="dxa"/>
            </w:tcMar>
            <w:vAlign w:val="center"/>
          </w:tcPr>
          <w:p w14:paraId="2A9DA014" w14:textId="77777777" w:rsidR="00691BD6" w:rsidRDefault="00000000">
            <w:r>
              <w:rPr>
                <w:b/>
                <w:bCs/>
                <w:color w:val="FFFFFF"/>
                <w:sz w:val="19"/>
                <w:szCs w:val="19"/>
              </w:rPr>
              <w:t>Exemplo no caso-base</w:t>
            </w:r>
          </w:p>
        </w:tc>
      </w:tr>
      <w:tr w:rsidR="00691BD6" w14:paraId="3358BAE3" w14:textId="77777777">
        <w:tblPrEx>
          <w:tblCellMar>
            <w:top w:w="0" w:type="dxa"/>
            <w:bottom w:w="0" w:type="dxa"/>
          </w:tblCellMar>
        </w:tblPrEx>
        <w:tc>
          <w:tcPr>
            <w:tcW w:w="2000" w:type="dxa"/>
            <w:tcMar>
              <w:top w:w="100" w:type="dxa"/>
              <w:left w:w="120" w:type="dxa"/>
              <w:bottom w:w="100" w:type="dxa"/>
              <w:right w:w="120" w:type="dxa"/>
            </w:tcMar>
            <w:vAlign w:val="center"/>
          </w:tcPr>
          <w:p w14:paraId="7C113353" w14:textId="77777777" w:rsidR="00691BD6" w:rsidRDefault="00000000">
            <w:r>
              <w:rPr>
                <w:color w:val="222222"/>
                <w:sz w:val="19"/>
                <w:szCs w:val="19"/>
              </w:rPr>
              <w:t>Controlar</w:t>
            </w:r>
          </w:p>
        </w:tc>
        <w:tc>
          <w:tcPr>
            <w:tcW w:w="4300" w:type="dxa"/>
            <w:tcMar>
              <w:top w:w="100" w:type="dxa"/>
              <w:left w:w="120" w:type="dxa"/>
              <w:bottom w:w="100" w:type="dxa"/>
              <w:right w:w="120" w:type="dxa"/>
            </w:tcMar>
            <w:vAlign w:val="center"/>
          </w:tcPr>
          <w:p w14:paraId="3AEB01D8" w14:textId="77777777" w:rsidR="00691BD6" w:rsidRDefault="00000000">
            <w:r>
              <w:rPr>
                <w:color w:val="222222"/>
                <w:sz w:val="19"/>
                <w:szCs w:val="19"/>
              </w:rPr>
              <w:t>Garantir que toda cobrança/atendimento segue exatamente a versão vigente do contrato no momento do fato gerador, não a versão mais recente conhecida pelo sistema</w:t>
            </w:r>
          </w:p>
        </w:tc>
        <w:tc>
          <w:tcPr>
            <w:tcW w:w="4300" w:type="dxa"/>
            <w:tcMar>
              <w:top w:w="100" w:type="dxa"/>
              <w:left w:w="120" w:type="dxa"/>
              <w:bottom w:w="100" w:type="dxa"/>
              <w:right w:w="120" w:type="dxa"/>
            </w:tcMar>
            <w:vAlign w:val="center"/>
          </w:tcPr>
          <w:p w14:paraId="64B29DB3" w14:textId="77777777" w:rsidR="00691BD6" w:rsidRDefault="00000000">
            <w:r>
              <w:rPr>
                <w:color w:val="222222"/>
                <w:sz w:val="19"/>
                <w:szCs w:val="19"/>
              </w:rPr>
              <w:t>Não cobrar consulta eletiva (10101012) após 08/07/2024, mesmo que o código ainda esteja cadastrado no ERP</w:t>
            </w:r>
          </w:p>
        </w:tc>
      </w:tr>
      <w:tr w:rsidR="00691BD6" w14:paraId="73C578A9"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6E066EA7" w14:textId="77777777" w:rsidR="00691BD6" w:rsidRDefault="00000000">
            <w:r>
              <w:rPr>
                <w:color w:val="222222"/>
                <w:sz w:val="19"/>
                <w:szCs w:val="19"/>
              </w:rPr>
              <w:t>Antecipar</w:t>
            </w:r>
          </w:p>
        </w:tc>
        <w:tc>
          <w:tcPr>
            <w:tcW w:w="4300" w:type="dxa"/>
            <w:shd w:val="clear" w:color="auto" w:fill="F2F2F2"/>
            <w:tcMar>
              <w:top w:w="100" w:type="dxa"/>
              <w:left w:w="120" w:type="dxa"/>
              <w:bottom w:w="100" w:type="dxa"/>
              <w:right w:w="120" w:type="dxa"/>
            </w:tcMar>
            <w:vAlign w:val="center"/>
          </w:tcPr>
          <w:p w14:paraId="07CFF4DB" w14:textId="77777777" w:rsidR="00691BD6" w:rsidRDefault="00000000">
            <w:r>
              <w:rPr>
                <w:color w:val="222222"/>
                <w:sz w:val="19"/>
                <w:szCs w:val="19"/>
              </w:rPr>
              <w:t>Projetar, a partir de padrões históricos e do calendário regulatório, quais mudanças contratuais/cadastrais provavelmente vêm a seguir</w:t>
            </w:r>
          </w:p>
        </w:tc>
        <w:tc>
          <w:tcPr>
            <w:tcW w:w="4300" w:type="dxa"/>
            <w:shd w:val="clear" w:color="auto" w:fill="F2F2F2"/>
            <w:tcMar>
              <w:top w:w="100" w:type="dxa"/>
              <w:left w:w="120" w:type="dxa"/>
              <w:bottom w:w="100" w:type="dxa"/>
              <w:right w:w="120" w:type="dxa"/>
            </w:tcMar>
            <w:vAlign w:val="center"/>
          </w:tcPr>
          <w:p w14:paraId="4FF13685" w14:textId="77777777" w:rsidR="00691BD6" w:rsidRDefault="00000000">
            <w:r>
              <w:rPr>
                <w:color w:val="222222"/>
                <w:sz w:val="19"/>
                <w:szCs w:val="19"/>
              </w:rPr>
              <w:t>Alvará de vigilância sanitária perto do vencimento → antecipar risco de não conformidade RN510/22 antes que ocorra</w:t>
            </w:r>
          </w:p>
        </w:tc>
      </w:tr>
      <w:tr w:rsidR="00691BD6" w14:paraId="7D0FE341" w14:textId="77777777">
        <w:tblPrEx>
          <w:tblCellMar>
            <w:top w:w="0" w:type="dxa"/>
            <w:bottom w:w="0" w:type="dxa"/>
          </w:tblCellMar>
        </w:tblPrEx>
        <w:tc>
          <w:tcPr>
            <w:tcW w:w="2000" w:type="dxa"/>
            <w:tcMar>
              <w:top w:w="100" w:type="dxa"/>
              <w:left w:w="120" w:type="dxa"/>
              <w:bottom w:w="100" w:type="dxa"/>
              <w:right w:w="120" w:type="dxa"/>
            </w:tcMar>
            <w:vAlign w:val="center"/>
          </w:tcPr>
          <w:p w14:paraId="79B2DE42" w14:textId="77777777" w:rsidR="00691BD6" w:rsidRDefault="00000000">
            <w:r>
              <w:rPr>
                <w:color w:val="222222"/>
                <w:sz w:val="19"/>
                <w:szCs w:val="19"/>
              </w:rPr>
              <w:t>Prever</w:t>
            </w:r>
          </w:p>
        </w:tc>
        <w:tc>
          <w:tcPr>
            <w:tcW w:w="4300" w:type="dxa"/>
            <w:tcMar>
              <w:top w:w="100" w:type="dxa"/>
              <w:left w:w="120" w:type="dxa"/>
              <w:bottom w:w="100" w:type="dxa"/>
              <w:right w:w="120" w:type="dxa"/>
            </w:tcMar>
            <w:vAlign w:val="center"/>
          </w:tcPr>
          <w:p w14:paraId="5E057559" w14:textId="77777777" w:rsidR="00691BD6" w:rsidRDefault="00000000">
            <w:r>
              <w:rPr>
                <w:color w:val="222222"/>
                <w:sz w:val="19"/>
                <w:szCs w:val="19"/>
              </w:rPr>
              <w:t>Estimar o valor e a probabilidade de glosa de uma guia específica antes do envio, com base no histórico de pagamentos/glosas daquele código com aquela operadora</w:t>
            </w:r>
          </w:p>
        </w:tc>
        <w:tc>
          <w:tcPr>
            <w:tcW w:w="4300" w:type="dxa"/>
            <w:tcMar>
              <w:top w:w="100" w:type="dxa"/>
              <w:left w:w="120" w:type="dxa"/>
              <w:bottom w:w="100" w:type="dxa"/>
              <w:right w:w="120" w:type="dxa"/>
            </w:tcMar>
            <w:vAlign w:val="center"/>
          </w:tcPr>
          <w:p w14:paraId="1273BC6A" w14:textId="77777777" w:rsidR="00691BD6" w:rsidRDefault="00000000">
            <w:r>
              <w:rPr>
                <w:color w:val="222222"/>
                <w:sz w:val="19"/>
                <w:szCs w:val="19"/>
              </w:rPr>
              <w:t>Prever que a taxa de sala IM/SC (código 89999959) será paga a R$ 325,00 e sinalizar se a guia foi lançada com valor diferente</w:t>
            </w:r>
          </w:p>
        </w:tc>
      </w:tr>
      <w:tr w:rsidR="00691BD6" w14:paraId="5AACE898"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658E3005" w14:textId="77777777" w:rsidR="00691BD6" w:rsidRDefault="00000000">
            <w:r>
              <w:rPr>
                <w:color w:val="222222"/>
                <w:sz w:val="19"/>
                <w:szCs w:val="19"/>
              </w:rPr>
              <w:t>Ter segunda opinião</w:t>
            </w:r>
          </w:p>
        </w:tc>
        <w:tc>
          <w:tcPr>
            <w:tcW w:w="4300" w:type="dxa"/>
            <w:shd w:val="clear" w:color="auto" w:fill="F2F2F2"/>
            <w:tcMar>
              <w:top w:w="100" w:type="dxa"/>
              <w:left w:w="120" w:type="dxa"/>
              <w:bottom w:w="100" w:type="dxa"/>
              <w:right w:w="120" w:type="dxa"/>
            </w:tcMar>
            <w:vAlign w:val="center"/>
          </w:tcPr>
          <w:p w14:paraId="1AD50FF4" w14:textId="77777777" w:rsidR="00691BD6" w:rsidRDefault="00000000">
            <w:r>
              <w:rPr>
                <w:color w:val="222222"/>
                <w:sz w:val="19"/>
                <w:szCs w:val="19"/>
              </w:rPr>
              <w:t>Checagem automática e independente de código, valor, elegibilidade e documentação antes do envio — um revisor de IA paralelo ao processo humano</w:t>
            </w:r>
          </w:p>
        </w:tc>
        <w:tc>
          <w:tcPr>
            <w:tcW w:w="4300" w:type="dxa"/>
            <w:shd w:val="clear" w:color="auto" w:fill="F2F2F2"/>
            <w:tcMar>
              <w:top w:w="100" w:type="dxa"/>
              <w:left w:w="120" w:type="dxa"/>
              <w:bottom w:w="100" w:type="dxa"/>
              <w:right w:w="120" w:type="dxa"/>
            </w:tcMar>
            <w:vAlign w:val="center"/>
          </w:tcPr>
          <w:p w14:paraId="7AD1B8D6" w14:textId="77777777" w:rsidR="00691BD6" w:rsidRDefault="00000000">
            <w:r>
              <w:rPr>
                <w:color w:val="222222"/>
                <w:sz w:val="19"/>
                <w:szCs w:val="19"/>
              </w:rPr>
              <w:t>Confirmar que a guia de quimioterapia usa um dos quatro códigos vigentes e o valor correspondente da tabela do aditivo de agosto/2024</w:t>
            </w:r>
          </w:p>
        </w:tc>
      </w:tr>
      <w:tr w:rsidR="00691BD6" w14:paraId="2CDCD6D5" w14:textId="77777777">
        <w:tblPrEx>
          <w:tblCellMar>
            <w:top w:w="0" w:type="dxa"/>
            <w:bottom w:w="0" w:type="dxa"/>
          </w:tblCellMar>
        </w:tblPrEx>
        <w:tc>
          <w:tcPr>
            <w:tcW w:w="2000" w:type="dxa"/>
            <w:tcMar>
              <w:top w:w="100" w:type="dxa"/>
              <w:left w:w="120" w:type="dxa"/>
              <w:bottom w:w="100" w:type="dxa"/>
              <w:right w:w="120" w:type="dxa"/>
            </w:tcMar>
            <w:vAlign w:val="center"/>
          </w:tcPr>
          <w:p w14:paraId="3663FCFD" w14:textId="77777777" w:rsidR="00691BD6" w:rsidRDefault="00000000">
            <w:r>
              <w:rPr>
                <w:color w:val="222222"/>
                <w:sz w:val="19"/>
                <w:szCs w:val="19"/>
              </w:rPr>
              <w:t>Auditar</w:t>
            </w:r>
          </w:p>
        </w:tc>
        <w:tc>
          <w:tcPr>
            <w:tcW w:w="4300" w:type="dxa"/>
            <w:tcMar>
              <w:top w:w="100" w:type="dxa"/>
              <w:left w:w="120" w:type="dxa"/>
              <w:bottom w:w="100" w:type="dxa"/>
              <w:right w:w="120" w:type="dxa"/>
            </w:tcMar>
            <w:vAlign w:val="center"/>
          </w:tcPr>
          <w:p w14:paraId="34ED53B9" w14:textId="77777777" w:rsidR="00691BD6" w:rsidRDefault="00000000">
            <w:r>
              <w:rPr>
                <w:color w:val="222222"/>
                <w:sz w:val="19"/>
                <w:szCs w:val="19"/>
              </w:rPr>
              <w:t>Varredura periódica retrospectiva de guias já enviadas/pagas contra o dossiê vivo do contrato, para achar divergências sistemáticas</w:t>
            </w:r>
          </w:p>
        </w:tc>
        <w:tc>
          <w:tcPr>
            <w:tcW w:w="4300" w:type="dxa"/>
            <w:tcMar>
              <w:top w:w="100" w:type="dxa"/>
              <w:left w:w="120" w:type="dxa"/>
              <w:bottom w:w="100" w:type="dxa"/>
              <w:right w:w="120" w:type="dxa"/>
            </w:tcMar>
            <w:vAlign w:val="center"/>
          </w:tcPr>
          <w:p w14:paraId="0FB1A392" w14:textId="77777777" w:rsidR="00691BD6" w:rsidRDefault="00000000">
            <w:r>
              <w:rPr>
                <w:color w:val="222222"/>
                <w:sz w:val="19"/>
                <w:szCs w:val="19"/>
              </w:rPr>
              <w:t>Auditar todas as guias entre 13/03 e 08/07/2024 para identificar cobranças de consulta eletiva na zona cinzenta de transição</w:t>
            </w:r>
          </w:p>
        </w:tc>
      </w:tr>
      <w:tr w:rsidR="00691BD6" w14:paraId="11D79A2F"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2F2A6519" w14:textId="77777777" w:rsidR="00691BD6" w:rsidRDefault="00000000">
            <w:r>
              <w:rPr>
                <w:color w:val="222222"/>
                <w:sz w:val="19"/>
                <w:szCs w:val="19"/>
              </w:rPr>
              <w:t>Sinalizar</w:t>
            </w:r>
          </w:p>
        </w:tc>
        <w:tc>
          <w:tcPr>
            <w:tcW w:w="4300" w:type="dxa"/>
            <w:shd w:val="clear" w:color="auto" w:fill="F2F2F2"/>
            <w:tcMar>
              <w:top w:w="100" w:type="dxa"/>
              <w:left w:w="120" w:type="dxa"/>
              <w:bottom w:w="100" w:type="dxa"/>
              <w:right w:w="120" w:type="dxa"/>
            </w:tcMar>
            <w:vAlign w:val="center"/>
          </w:tcPr>
          <w:p w14:paraId="08754102" w14:textId="77777777" w:rsidR="00691BD6" w:rsidRDefault="00000000">
            <w:r>
              <w:rPr>
                <w:color w:val="222222"/>
                <w:sz w:val="19"/>
                <w:szCs w:val="19"/>
              </w:rPr>
              <w:t>Alertas acionáveis e priorizados (não só um log) para a pessoa certa no momento certo</w:t>
            </w:r>
          </w:p>
        </w:tc>
        <w:tc>
          <w:tcPr>
            <w:tcW w:w="4300" w:type="dxa"/>
            <w:shd w:val="clear" w:color="auto" w:fill="F2F2F2"/>
            <w:tcMar>
              <w:top w:w="100" w:type="dxa"/>
              <w:left w:w="120" w:type="dxa"/>
              <w:bottom w:w="100" w:type="dxa"/>
              <w:right w:w="120" w:type="dxa"/>
            </w:tcMar>
            <w:vAlign w:val="center"/>
          </w:tcPr>
          <w:p w14:paraId="154BA3CD" w14:textId="77777777" w:rsidR="00691BD6" w:rsidRDefault="00000000">
            <w:r>
              <w:rPr>
                <w:color w:val="222222"/>
                <w:sz w:val="19"/>
                <w:szCs w:val="19"/>
              </w:rPr>
              <w:t>Alerta ao setor de faturamento no dia da vigência (01/08) do novo aditivo, não só no dia do recebimento físico (06/08)</w:t>
            </w:r>
          </w:p>
        </w:tc>
      </w:tr>
      <w:tr w:rsidR="00691BD6" w14:paraId="0C4DADFE" w14:textId="77777777">
        <w:tblPrEx>
          <w:tblCellMar>
            <w:top w:w="0" w:type="dxa"/>
            <w:bottom w:w="0" w:type="dxa"/>
          </w:tblCellMar>
        </w:tblPrEx>
        <w:tc>
          <w:tcPr>
            <w:tcW w:w="2000" w:type="dxa"/>
            <w:tcMar>
              <w:top w:w="100" w:type="dxa"/>
              <w:left w:w="120" w:type="dxa"/>
              <w:bottom w:w="100" w:type="dxa"/>
              <w:right w:w="120" w:type="dxa"/>
            </w:tcMar>
            <w:vAlign w:val="center"/>
          </w:tcPr>
          <w:p w14:paraId="1742C515" w14:textId="77777777" w:rsidR="00691BD6" w:rsidRDefault="00000000">
            <w:r>
              <w:rPr>
                <w:color w:val="222222"/>
                <w:sz w:val="19"/>
                <w:szCs w:val="19"/>
              </w:rPr>
              <w:t>Monitorar</w:t>
            </w:r>
          </w:p>
        </w:tc>
        <w:tc>
          <w:tcPr>
            <w:tcW w:w="4300" w:type="dxa"/>
            <w:tcMar>
              <w:top w:w="100" w:type="dxa"/>
              <w:left w:w="120" w:type="dxa"/>
              <w:bottom w:w="100" w:type="dxa"/>
              <w:right w:w="120" w:type="dxa"/>
            </w:tcMar>
            <w:vAlign w:val="center"/>
          </w:tcPr>
          <w:p w14:paraId="778F7F75" w14:textId="77777777" w:rsidR="00691BD6" w:rsidRDefault="00000000">
            <w:r>
              <w:rPr>
                <w:color w:val="222222"/>
                <w:sz w:val="19"/>
                <w:szCs w:val="19"/>
              </w:rPr>
              <w:t>Acompanhamento contínuo de indicadores vivos: taxa de glosa por código, prazo médio de pagamento, status de cadastro, validade de documentos</w:t>
            </w:r>
          </w:p>
        </w:tc>
        <w:tc>
          <w:tcPr>
            <w:tcW w:w="4300" w:type="dxa"/>
            <w:tcMar>
              <w:top w:w="100" w:type="dxa"/>
              <w:left w:w="120" w:type="dxa"/>
              <w:bottom w:w="100" w:type="dxa"/>
              <w:right w:w="120" w:type="dxa"/>
            </w:tcMar>
            <w:vAlign w:val="center"/>
          </w:tcPr>
          <w:p w14:paraId="57199A9F" w14:textId="77777777" w:rsidR="00691BD6" w:rsidRDefault="00000000">
            <w:r>
              <w:rPr>
                <w:color w:val="222222"/>
                <w:sz w:val="19"/>
                <w:szCs w:val="19"/>
              </w:rPr>
              <w:t>Painel com os 12 documentos cadastrais exigidos pela RN510/22 e sua validade individual</w:t>
            </w:r>
          </w:p>
        </w:tc>
      </w:tr>
      <w:tr w:rsidR="00691BD6" w14:paraId="0FCC1846"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1B188FCA" w14:textId="77777777" w:rsidR="00691BD6" w:rsidRDefault="00000000">
            <w:r>
              <w:rPr>
                <w:color w:val="222222"/>
                <w:sz w:val="19"/>
                <w:szCs w:val="19"/>
              </w:rPr>
              <w:t>Rastrear</w:t>
            </w:r>
          </w:p>
        </w:tc>
        <w:tc>
          <w:tcPr>
            <w:tcW w:w="4300" w:type="dxa"/>
            <w:shd w:val="clear" w:color="auto" w:fill="F2F2F2"/>
            <w:tcMar>
              <w:top w:w="100" w:type="dxa"/>
              <w:left w:w="120" w:type="dxa"/>
              <w:bottom w:w="100" w:type="dxa"/>
              <w:right w:w="120" w:type="dxa"/>
            </w:tcMar>
            <w:vAlign w:val="center"/>
          </w:tcPr>
          <w:p w14:paraId="1850F9CC" w14:textId="77777777" w:rsidR="00691BD6" w:rsidRDefault="00000000">
            <w:r>
              <w:rPr>
                <w:color w:val="222222"/>
                <w:sz w:val="19"/>
                <w:szCs w:val="19"/>
              </w:rPr>
              <w:t>Trilha de auditoria completa: quem assinou, quando, qual versão do contrato estava vigente em cada data, ligação entre notificação informal e aditivo formal</w:t>
            </w:r>
          </w:p>
        </w:tc>
        <w:tc>
          <w:tcPr>
            <w:tcW w:w="4300" w:type="dxa"/>
            <w:shd w:val="clear" w:color="auto" w:fill="F2F2F2"/>
            <w:tcMar>
              <w:top w:w="100" w:type="dxa"/>
              <w:left w:w="120" w:type="dxa"/>
              <w:bottom w:w="100" w:type="dxa"/>
              <w:right w:w="120" w:type="dxa"/>
            </w:tcMar>
            <w:vAlign w:val="center"/>
          </w:tcPr>
          <w:p w14:paraId="758BD089" w14:textId="77777777" w:rsidR="00691BD6" w:rsidRDefault="00000000">
            <w:r>
              <w:rPr>
                <w:color w:val="222222"/>
                <w:sz w:val="19"/>
                <w:szCs w:val="19"/>
              </w:rPr>
              <w:t>Linkar a carta de 13/03/2024 (evento) ao aditivo de 08/07/2024 (formalização) como uma única cadeia causal documentável</w:t>
            </w:r>
          </w:p>
        </w:tc>
      </w:tr>
      <w:tr w:rsidR="00691BD6" w14:paraId="1508BDAA" w14:textId="77777777">
        <w:tblPrEx>
          <w:tblCellMar>
            <w:top w:w="0" w:type="dxa"/>
            <w:bottom w:w="0" w:type="dxa"/>
          </w:tblCellMar>
        </w:tblPrEx>
        <w:tc>
          <w:tcPr>
            <w:tcW w:w="2000" w:type="dxa"/>
            <w:tcMar>
              <w:top w:w="100" w:type="dxa"/>
              <w:left w:w="120" w:type="dxa"/>
              <w:bottom w:w="100" w:type="dxa"/>
              <w:right w:w="120" w:type="dxa"/>
            </w:tcMar>
            <w:vAlign w:val="center"/>
          </w:tcPr>
          <w:p w14:paraId="23CBFCB0" w14:textId="77777777" w:rsidR="00691BD6" w:rsidRDefault="00000000">
            <w:r>
              <w:rPr>
                <w:color w:val="222222"/>
                <w:sz w:val="19"/>
                <w:szCs w:val="19"/>
              </w:rPr>
              <w:t>Mapear</w:t>
            </w:r>
          </w:p>
        </w:tc>
        <w:tc>
          <w:tcPr>
            <w:tcW w:w="4300" w:type="dxa"/>
            <w:tcMar>
              <w:top w:w="100" w:type="dxa"/>
              <w:left w:w="120" w:type="dxa"/>
              <w:bottom w:w="100" w:type="dxa"/>
              <w:right w:w="120" w:type="dxa"/>
            </w:tcMar>
            <w:vAlign w:val="center"/>
          </w:tcPr>
          <w:p w14:paraId="63A9BBCF" w14:textId="77777777" w:rsidR="00691BD6" w:rsidRDefault="00000000">
            <w:r>
              <w:rPr>
                <w:color w:val="222222"/>
                <w:sz w:val="19"/>
                <w:szCs w:val="19"/>
              </w:rPr>
              <w:t xml:space="preserve">Consolidar, para cada contrato, o mapa completo de cobertura, tabela de preços, obrigações e partes envolvidas — a visão única que hoje só existe espalhada em </w:t>
            </w:r>
            <w:proofErr w:type="spellStart"/>
            <w:r>
              <w:rPr>
                <w:color w:val="222222"/>
                <w:sz w:val="19"/>
                <w:szCs w:val="19"/>
              </w:rPr>
              <w:t>PDFs</w:t>
            </w:r>
            <w:proofErr w:type="spellEnd"/>
            <w:r>
              <w:rPr>
                <w:color w:val="222222"/>
                <w:sz w:val="19"/>
                <w:szCs w:val="19"/>
              </w:rPr>
              <w:t xml:space="preserve"> soltos</w:t>
            </w:r>
          </w:p>
        </w:tc>
        <w:tc>
          <w:tcPr>
            <w:tcW w:w="4300" w:type="dxa"/>
            <w:tcMar>
              <w:top w:w="100" w:type="dxa"/>
              <w:left w:w="120" w:type="dxa"/>
              <w:bottom w:w="100" w:type="dxa"/>
              <w:right w:w="120" w:type="dxa"/>
            </w:tcMar>
            <w:vAlign w:val="center"/>
          </w:tcPr>
          <w:p w14:paraId="0196E62B" w14:textId="77777777" w:rsidR="00691BD6" w:rsidRDefault="00000000">
            <w:r>
              <w:rPr>
                <w:color w:val="222222"/>
                <w:sz w:val="19"/>
                <w:szCs w:val="19"/>
              </w:rPr>
              <w:t>Um único mapa que mostra: contrato original + 3 aditivos + 2 cartas = estado atual real do contrato Unimed–</w:t>
            </w:r>
            <w:proofErr w:type="spellStart"/>
            <w:r>
              <w:rPr>
                <w:color w:val="222222"/>
                <w:sz w:val="19"/>
                <w:szCs w:val="19"/>
              </w:rPr>
              <w:t>Oncoradium</w:t>
            </w:r>
            <w:proofErr w:type="spellEnd"/>
          </w:p>
        </w:tc>
      </w:tr>
    </w:tbl>
    <w:p w14:paraId="0B60E586" w14:textId="77777777" w:rsidR="00691BD6" w:rsidRDefault="00000000">
      <w:r>
        <w:br w:type="page"/>
      </w:r>
    </w:p>
    <w:p w14:paraId="1F51FE97" w14:textId="77777777" w:rsidR="00691BD6" w:rsidRDefault="00000000">
      <w:pPr>
        <w:pStyle w:val="Ttulo1"/>
        <w:pBdr>
          <w:bottom w:val="single" w:sz="6" w:space="4" w:color="1F3552"/>
        </w:pBdr>
        <w:spacing w:before="480" w:after="200"/>
      </w:pPr>
      <w:r>
        <w:rPr>
          <w:b/>
          <w:bCs/>
          <w:color w:val="1F3552"/>
          <w:sz w:val="30"/>
          <w:szCs w:val="30"/>
        </w:rPr>
        <w:lastRenderedPageBreak/>
        <w:t>4. Consolidação de contexto: o dossiê vivo do contrato</w:t>
      </w:r>
    </w:p>
    <w:p w14:paraId="27A0ABD4" w14:textId="77777777" w:rsidR="00691BD6" w:rsidRDefault="00000000">
      <w:pPr>
        <w:spacing w:after="160" w:line="300" w:lineRule="auto"/>
        <w:jc w:val="both"/>
      </w:pPr>
      <w:r>
        <w:rPr>
          <w:color w:val="222222"/>
          <w:sz w:val="21"/>
          <w:szCs w:val="21"/>
        </w:rPr>
        <w:t>Este é o núcleo de dados do produto — a estrutura que precisa existir para que os nove verbos da seção 3 funcionem. Cada contrato prestador–operadora vira um objeto estruturado com as camadas abaixo, construído a partir do contrato original e atualizado a cada aditivo, carta ou comunicado recebido.</w:t>
      </w:r>
    </w:p>
    <w:p w14:paraId="59ECB25A" w14:textId="77777777" w:rsidR="00691BD6" w:rsidRDefault="00000000">
      <w:pPr>
        <w:pStyle w:val="Ttulo2"/>
        <w:spacing w:before="360" w:after="160"/>
      </w:pPr>
      <w:r>
        <w:rPr>
          <w:b/>
          <w:bCs/>
          <w:color w:val="0F6E6A"/>
          <w:sz w:val="24"/>
          <w:szCs w:val="24"/>
        </w:rPr>
        <w:t>4.1 Camadas do dossiê</w:t>
      </w:r>
    </w:p>
    <w:p w14:paraId="68831014" w14:textId="77777777" w:rsidR="00691BD6" w:rsidRDefault="00000000">
      <w:pPr>
        <w:pStyle w:val="PargrafodaLista"/>
        <w:numPr>
          <w:ilvl w:val="0"/>
          <w:numId w:val="2"/>
        </w:numPr>
        <w:spacing w:after="100" w:line="280" w:lineRule="auto"/>
      </w:pPr>
      <w:r>
        <w:rPr>
          <w:color w:val="222222"/>
          <w:sz w:val="21"/>
          <w:szCs w:val="21"/>
        </w:rPr>
        <w:t>Identificação das partes: razão social, CNPJ, registro ANS da operadora, tipo de prestador, unidades/CNES vinculados</w:t>
      </w:r>
    </w:p>
    <w:p w14:paraId="070CCEA6" w14:textId="77777777" w:rsidR="00691BD6" w:rsidRDefault="00000000">
      <w:pPr>
        <w:pStyle w:val="PargrafodaLista"/>
        <w:numPr>
          <w:ilvl w:val="0"/>
          <w:numId w:val="2"/>
        </w:numPr>
        <w:spacing w:after="100" w:line="280" w:lineRule="auto"/>
      </w:pPr>
      <w:r>
        <w:rPr>
          <w:color w:val="222222"/>
          <w:sz w:val="21"/>
          <w:szCs w:val="21"/>
        </w:rPr>
        <w:t>Objeto e escopo vigente: rol de procedimentos/códigos cobertos, com histórico de inclusões e exclusões e a data exata de cada mudança</w:t>
      </w:r>
    </w:p>
    <w:p w14:paraId="116061B1" w14:textId="77777777" w:rsidR="00691BD6" w:rsidRDefault="00000000">
      <w:pPr>
        <w:pStyle w:val="PargrafodaLista"/>
        <w:numPr>
          <w:ilvl w:val="0"/>
          <w:numId w:val="2"/>
        </w:numPr>
        <w:spacing w:after="100" w:line="280" w:lineRule="auto"/>
      </w:pPr>
      <w:r>
        <w:rPr>
          <w:color w:val="222222"/>
          <w:sz w:val="21"/>
          <w:szCs w:val="21"/>
        </w:rPr>
        <w:t xml:space="preserve">Tabela de preços </w:t>
      </w:r>
      <w:proofErr w:type="spellStart"/>
      <w:r>
        <w:rPr>
          <w:color w:val="222222"/>
          <w:sz w:val="21"/>
          <w:szCs w:val="21"/>
        </w:rPr>
        <w:t>versionada</w:t>
      </w:r>
      <w:proofErr w:type="spellEnd"/>
      <w:r>
        <w:rPr>
          <w:color w:val="222222"/>
          <w:sz w:val="21"/>
          <w:szCs w:val="21"/>
        </w:rPr>
        <w:t>: não uma tabela única, mas uma linha do tempo de tabelas — qual valor valia para qual código em qual período</w:t>
      </w:r>
    </w:p>
    <w:p w14:paraId="39907D4C" w14:textId="77777777" w:rsidR="00691BD6" w:rsidRDefault="00000000">
      <w:pPr>
        <w:pStyle w:val="PargrafodaLista"/>
        <w:numPr>
          <w:ilvl w:val="0"/>
          <w:numId w:val="2"/>
        </w:numPr>
        <w:spacing w:after="100" w:line="280" w:lineRule="auto"/>
      </w:pPr>
      <w:r>
        <w:rPr>
          <w:color w:val="222222"/>
          <w:sz w:val="21"/>
          <w:szCs w:val="21"/>
        </w:rPr>
        <w:t>Cadeia de documentos: contrato original + todos os aditivos + cartas + comunicados, cada um com quatro datas distintas (data do evento motivador, data de notificação, data de assinatura, data de vigência declarada) — o caso-base mostra que essas quatro datas quase nunca coincidem</w:t>
      </w:r>
    </w:p>
    <w:p w14:paraId="772396B6" w14:textId="77777777" w:rsidR="00691BD6" w:rsidRDefault="00000000">
      <w:pPr>
        <w:pStyle w:val="PargrafodaLista"/>
        <w:numPr>
          <w:ilvl w:val="0"/>
          <w:numId w:val="2"/>
        </w:numPr>
        <w:spacing w:after="100" w:line="280" w:lineRule="auto"/>
      </w:pPr>
      <w:r>
        <w:rPr>
          <w:color w:val="222222"/>
          <w:sz w:val="21"/>
          <w:szCs w:val="21"/>
        </w:rPr>
        <w:t>Cláusulas de reajuste: índice aplicável, periodicidade, regra de cálculo</w:t>
      </w:r>
    </w:p>
    <w:p w14:paraId="2B59B69C" w14:textId="77777777" w:rsidR="00691BD6" w:rsidRDefault="00000000">
      <w:pPr>
        <w:pStyle w:val="PargrafodaLista"/>
        <w:numPr>
          <w:ilvl w:val="0"/>
          <w:numId w:val="2"/>
        </w:numPr>
        <w:spacing w:after="100" w:line="280" w:lineRule="auto"/>
      </w:pPr>
      <w:r>
        <w:rPr>
          <w:color w:val="222222"/>
          <w:sz w:val="21"/>
          <w:szCs w:val="21"/>
        </w:rPr>
        <w:t>Regras de glosa: motivo, prazo de contestação, canal, histórico de resultado por tipo de glosa</w:t>
      </w:r>
    </w:p>
    <w:p w14:paraId="2BBF4721" w14:textId="77777777" w:rsidR="00691BD6" w:rsidRDefault="00000000">
      <w:pPr>
        <w:pStyle w:val="PargrafodaLista"/>
        <w:numPr>
          <w:ilvl w:val="0"/>
          <w:numId w:val="2"/>
        </w:numPr>
        <w:spacing w:after="100" w:line="280" w:lineRule="auto"/>
      </w:pPr>
      <w:proofErr w:type="spellStart"/>
      <w:r>
        <w:rPr>
          <w:color w:val="222222"/>
          <w:sz w:val="21"/>
          <w:szCs w:val="21"/>
        </w:rPr>
        <w:t>SLAs</w:t>
      </w:r>
      <w:proofErr w:type="spellEnd"/>
      <w:r>
        <w:rPr>
          <w:color w:val="222222"/>
          <w:sz w:val="21"/>
          <w:szCs w:val="21"/>
        </w:rPr>
        <w:t xml:space="preserve"> contratuais: prazo de pagamento, prazo de resposta a auditoria, prazo de notificação de incidente (24h no caso-base), prazo de resposta a solicitação de titular de dados</w:t>
      </w:r>
    </w:p>
    <w:p w14:paraId="64188943" w14:textId="77777777" w:rsidR="00691BD6" w:rsidRDefault="00000000">
      <w:pPr>
        <w:pStyle w:val="PargrafodaLista"/>
        <w:numPr>
          <w:ilvl w:val="0"/>
          <w:numId w:val="2"/>
        </w:numPr>
        <w:spacing w:after="100" w:line="280" w:lineRule="auto"/>
      </w:pPr>
      <w:r>
        <w:rPr>
          <w:color w:val="222222"/>
          <w:sz w:val="21"/>
          <w:szCs w:val="21"/>
        </w:rPr>
        <w:t>Obrigações regulatórias vinculadas: RN510/22, RN507/22, RDC 36/2013, LGPD — cada uma com checklist de evidências e validade individual, não um único status “conforme/não conforme”</w:t>
      </w:r>
    </w:p>
    <w:p w14:paraId="1C56CC19" w14:textId="77777777" w:rsidR="00691BD6" w:rsidRDefault="00000000">
      <w:pPr>
        <w:pStyle w:val="PargrafodaLista"/>
        <w:numPr>
          <w:ilvl w:val="0"/>
          <w:numId w:val="2"/>
        </w:numPr>
        <w:spacing w:after="100" w:line="280" w:lineRule="auto"/>
      </w:pPr>
      <w:r>
        <w:rPr>
          <w:color w:val="222222"/>
          <w:sz w:val="21"/>
          <w:szCs w:val="21"/>
        </w:rPr>
        <w:t>Regras de rede: condições de credenciamento, descredenciamento, exclusividade, qualificação de prestadores</w:t>
      </w:r>
    </w:p>
    <w:p w14:paraId="48E09F1E" w14:textId="77777777" w:rsidR="00691BD6" w:rsidRDefault="00000000">
      <w:pPr>
        <w:pStyle w:val="PargrafodaLista"/>
        <w:numPr>
          <w:ilvl w:val="0"/>
          <w:numId w:val="2"/>
        </w:numPr>
        <w:spacing w:after="100" w:line="280" w:lineRule="auto"/>
      </w:pPr>
      <w:r>
        <w:rPr>
          <w:color w:val="222222"/>
          <w:sz w:val="21"/>
          <w:szCs w:val="21"/>
        </w:rPr>
        <w:t>Eventos operacionais correlatos: suspensões de serviço, comunicados a pacientes, notificações informais que ainda não viraram aditivo formal</w:t>
      </w:r>
    </w:p>
    <w:p w14:paraId="6C45190A" w14:textId="77777777" w:rsidR="00691BD6" w:rsidRDefault="00000000">
      <w:pPr>
        <w:pStyle w:val="PargrafodaLista"/>
        <w:numPr>
          <w:ilvl w:val="0"/>
          <w:numId w:val="2"/>
        </w:numPr>
        <w:spacing w:after="100" w:line="280" w:lineRule="auto"/>
      </w:pPr>
      <w:r>
        <w:rPr>
          <w:color w:val="222222"/>
          <w:sz w:val="21"/>
          <w:szCs w:val="21"/>
        </w:rPr>
        <w:t>Metadados de proveniência: quem assinou, cargo, método de assinatura (física/digital), documento de origem (nome do arquivo, página), nível de confiança da extração automática</w:t>
      </w:r>
    </w:p>
    <w:p w14:paraId="31DE77FD" w14:textId="77777777" w:rsidR="00691BD6" w:rsidRDefault="00000000">
      <w:pPr>
        <w:pStyle w:val="Ttulo2"/>
        <w:spacing w:before="360" w:after="160"/>
      </w:pPr>
      <w:r>
        <w:rPr>
          <w:b/>
          <w:bCs/>
          <w:color w:val="0F6E6A"/>
          <w:sz w:val="24"/>
          <w:szCs w:val="24"/>
        </w:rPr>
        <w:t xml:space="preserve">4.2 Por que isso precisa ser um objeto vivo, não um repositório de </w:t>
      </w:r>
      <w:proofErr w:type="spellStart"/>
      <w:r>
        <w:rPr>
          <w:b/>
          <w:bCs/>
          <w:color w:val="0F6E6A"/>
          <w:sz w:val="24"/>
          <w:szCs w:val="24"/>
        </w:rPr>
        <w:t>PDFs</w:t>
      </w:r>
      <w:proofErr w:type="spellEnd"/>
    </w:p>
    <w:p w14:paraId="3EADF934" w14:textId="77777777" w:rsidR="00691BD6" w:rsidRDefault="00000000">
      <w:pPr>
        <w:pBdr>
          <w:left w:val="single" w:sz="18" w:space="8" w:color="B08D3E"/>
        </w:pBdr>
        <w:spacing w:before="120" w:after="200"/>
        <w:ind w:left="360"/>
      </w:pPr>
      <w:r>
        <w:rPr>
          <w:i/>
          <w:iCs/>
          <w:color w:val="5A5A5A"/>
        </w:rPr>
        <w:t>No caso-base, entender “quanto vale hoje uma sessão de aplicação de quimioterapia IV para este prestador, com esta operadora” exige cruzar cinco documentos distintos, assinados em datas diferentes, com vigências retroativas. Nenhuma pessoa faz esse cruzamento a cada guia emitida — e é exatamente aí que nasce a glosa evitável e o pagamento indevido evitável.</w:t>
      </w:r>
    </w:p>
    <w:p w14:paraId="333E26FE" w14:textId="77777777" w:rsidR="00691BD6" w:rsidRDefault="00000000">
      <w:pPr>
        <w:spacing w:after="160" w:line="300" w:lineRule="auto"/>
        <w:jc w:val="both"/>
      </w:pPr>
      <w:r>
        <w:rPr>
          <w:color w:val="222222"/>
          <w:sz w:val="21"/>
          <w:szCs w:val="21"/>
        </w:rPr>
        <w:t>O dossiê vivo resolve isso transformando “ler o contrato” em “consultar o estado atual do contrato” — uma pergunta que o sistema responde em segundos, sempre reconciliada com o último aditivo processado.</w:t>
      </w:r>
    </w:p>
    <w:p w14:paraId="726AB5B6" w14:textId="77777777" w:rsidR="00691BD6" w:rsidRDefault="00000000">
      <w:r>
        <w:br w:type="page"/>
      </w:r>
    </w:p>
    <w:p w14:paraId="02CA0659" w14:textId="77777777" w:rsidR="00691BD6" w:rsidRDefault="00000000">
      <w:pPr>
        <w:pStyle w:val="Ttulo1"/>
        <w:pBdr>
          <w:bottom w:val="single" w:sz="6" w:space="4" w:color="1F3552"/>
        </w:pBdr>
        <w:spacing w:before="480" w:after="200"/>
      </w:pPr>
      <w:r>
        <w:rPr>
          <w:b/>
          <w:bCs/>
          <w:color w:val="1F3552"/>
          <w:sz w:val="30"/>
          <w:szCs w:val="30"/>
        </w:rPr>
        <w:lastRenderedPageBreak/>
        <w:t>5. O motor: como os módulos entregam os nove verbos</w:t>
      </w:r>
    </w:p>
    <w:p w14:paraId="1B624825" w14:textId="77777777" w:rsidR="00691BD6" w:rsidRDefault="00000000">
      <w:pPr>
        <w:pStyle w:val="Ttulo2"/>
        <w:spacing w:before="360" w:after="160"/>
      </w:pPr>
      <w:r>
        <w:rPr>
          <w:b/>
          <w:bCs/>
          <w:color w:val="0F6E6A"/>
          <w:sz w:val="24"/>
          <w:szCs w:val="24"/>
        </w:rPr>
        <w:t>5.1 Módulo de ingestão e extração</w:t>
      </w:r>
    </w:p>
    <w:p w14:paraId="247675AF" w14:textId="77777777" w:rsidR="00691BD6" w:rsidRDefault="00000000">
      <w:pPr>
        <w:spacing w:after="160" w:line="300" w:lineRule="auto"/>
        <w:jc w:val="both"/>
      </w:pPr>
      <w:r>
        <w:rPr>
          <w:color w:val="222222"/>
          <w:sz w:val="21"/>
          <w:szCs w:val="21"/>
        </w:rPr>
        <w:t>OCR e extração estruturada sobre contratos, aditivos, cartas e comunicados (PDF nativo ou escaneado — os documentos do caso-base incluem ambos os tipos, com qualidade de digitalização variável). Extrai partes, códigos, valores, datas (evento/notificação/assinatura/vigência), cláusulas de LGPD/regulatórias e assinaturas, com nível de confiança por campo. Campos de baixa confiança vão para fila de revisão humana — o produto nunca aplica automaticamente uma extração duvidosa ao dossiê vivo.</w:t>
      </w:r>
    </w:p>
    <w:p w14:paraId="6F8D7491" w14:textId="77777777" w:rsidR="00691BD6" w:rsidRDefault="00000000">
      <w:pPr>
        <w:pStyle w:val="Ttulo2"/>
        <w:spacing w:before="360" w:after="160"/>
      </w:pPr>
      <w:r>
        <w:rPr>
          <w:b/>
          <w:bCs/>
          <w:color w:val="0F6E6A"/>
          <w:sz w:val="24"/>
          <w:szCs w:val="24"/>
        </w:rPr>
        <w:t>5.2 Motor de reconciliação do dossiê</w:t>
      </w:r>
    </w:p>
    <w:p w14:paraId="20BDCF25" w14:textId="77777777" w:rsidR="00691BD6" w:rsidRDefault="00000000">
      <w:pPr>
        <w:spacing w:after="160" w:line="300" w:lineRule="auto"/>
        <w:jc w:val="both"/>
      </w:pPr>
      <w:r>
        <w:rPr>
          <w:color w:val="222222"/>
          <w:sz w:val="21"/>
          <w:szCs w:val="21"/>
        </w:rPr>
        <w:t xml:space="preserve">Aplica cada novo documento extraído sobre o dossiê existente, resolvendo conflitos por data de vigência (não por data de recebimento) e mantendo o histórico completo — nunca sobrescreve, sempre </w:t>
      </w:r>
      <w:proofErr w:type="spellStart"/>
      <w:r>
        <w:rPr>
          <w:color w:val="222222"/>
          <w:sz w:val="21"/>
          <w:szCs w:val="21"/>
        </w:rPr>
        <w:t>versiona</w:t>
      </w:r>
      <w:proofErr w:type="spellEnd"/>
      <w:r>
        <w:rPr>
          <w:color w:val="222222"/>
          <w:sz w:val="21"/>
          <w:szCs w:val="21"/>
        </w:rPr>
        <w:t>. É este módulo que sabe, no caso-base, que entre 01/08 e a assinatura em 06/08/2024 a tabela de taxas de sala já estava, contratualmente, em vigor.</w:t>
      </w:r>
    </w:p>
    <w:p w14:paraId="2CC08AA5" w14:textId="77777777" w:rsidR="00691BD6" w:rsidRDefault="00000000">
      <w:pPr>
        <w:pStyle w:val="Ttulo2"/>
        <w:spacing w:before="360" w:after="160"/>
      </w:pPr>
      <w:r>
        <w:rPr>
          <w:b/>
          <w:bCs/>
          <w:color w:val="0F6E6A"/>
          <w:sz w:val="24"/>
          <w:szCs w:val="24"/>
        </w:rPr>
        <w:t xml:space="preserve">5.3 Simulador de faturamento (previsão </w:t>
      </w:r>
      <w:proofErr w:type="spellStart"/>
      <w:r>
        <w:rPr>
          <w:b/>
          <w:bCs/>
          <w:color w:val="0F6E6A"/>
          <w:sz w:val="24"/>
          <w:szCs w:val="24"/>
        </w:rPr>
        <w:t>on</w:t>
      </w:r>
      <w:proofErr w:type="spellEnd"/>
      <w:r>
        <w:rPr>
          <w:b/>
          <w:bCs/>
          <w:color w:val="0F6E6A"/>
          <w:sz w:val="24"/>
          <w:szCs w:val="24"/>
        </w:rPr>
        <w:t xml:space="preserve"> time / </w:t>
      </w:r>
      <w:proofErr w:type="spellStart"/>
      <w:r>
        <w:rPr>
          <w:b/>
          <w:bCs/>
          <w:color w:val="0F6E6A"/>
          <w:sz w:val="24"/>
          <w:szCs w:val="24"/>
        </w:rPr>
        <w:t>on</w:t>
      </w:r>
      <w:proofErr w:type="spellEnd"/>
      <w:r>
        <w:rPr>
          <w:b/>
          <w:bCs/>
          <w:color w:val="0F6E6A"/>
          <w:sz w:val="24"/>
          <w:szCs w:val="24"/>
        </w:rPr>
        <w:t xml:space="preserve"> </w:t>
      </w:r>
      <w:proofErr w:type="spellStart"/>
      <w:r>
        <w:rPr>
          <w:b/>
          <w:bCs/>
          <w:color w:val="0F6E6A"/>
          <w:sz w:val="24"/>
          <w:szCs w:val="24"/>
        </w:rPr>
        <w:t>demand</w:t>
      </w:r>
      <w:proofErr w:type="spellEnd"/>
      <w:r>
        <w:rPr>
          <w:b/>
          <w:bCs/>
          <w:color w:val="0F6E6A"/>
          <w:sz w:val="24"/>
          <w:szCs w:val="24"/>
        </w:rPr>
        <w:t>)</w:t>
      </w:r>
    </w:p>
    <w:p w14:paraId="7193AB5D" w14:textId="77777777" w:rsidR="00691BD6" w:rsidRDefault="00000000">
      <w:pPr>
        <w:spacing w:after="160" w:line="300" w:lineRule="auto"/>
        <w:jc w:val="both"/>
      </w:pPr>
      <w:r>
        <w:rPr>
          <w:color w:val="222222"/>
          <w:sz w:val="21"/>
          <w:szCs w:val="21"/>
        </w:rPr>
        <w:t xml:space="preserve">Antes do envio de uma guia, o prestador (ou o sistema de faturamento integrado) consulta o simulador: dado o código, a data do atendimento e o contrato vigente, o sistema retorna o valor esperado, o nível de confiança e qualquer alerta de risco (código excluído, documentação cadastral vencida, histórico de glosa para aquele código/operadora). Essa é a resposta direta ao pedido de “antecipar </w:t>
      </w:r>
      <w:proofErr w:type="spellStart"/>
      <w:r>
        <w:rPr>
          <w:color w:val="222222"/>
          <w:sz w:val="21"/>
          <w:szCs w:val="21"/>
        </w:rPr>
        <w:t>on</w:t>
      </w:r>
      <w:proofErr w:type="spellEnd"/>
      <w:r>
        <w:rPr>
          <w:color w:val="222222"/>
          <w:sz w:val="21"/>
          <w:szCs w:val="21"/>
        </w:rPr>
        <w:t xml:space="preserve"> time e </w:t>
      </w:r>
      <w:proofErr w:type="spellStart"/>
      <w:r>
        <w:rPr>
          <w:color w:val="222222"/>
          <w:sz w:val="21"/>
          <w:szCs w:val="21"/>
        </w:rPr>
        <w:t>on</w:t>
      </w:r>
      <w:proofErr w:type="spellEnd"/>
      <w:r>
        <w:rPr>
          <w:color w:val="222222"/>
          <w:sz w:val="21"/>
          <w:szCs w:val="21"/>
        </w:rPr>
        <w:t xml:space="preserve"> </w:t>
      </w:r>
      <w:proofErr w:type="spellStart"/>
      <w:r>
        <w:rPr>
          <w:color w:val="222222"/>
          <w:sz w:val="21"/>
          <w:szCs w:val="21"/>
        </w:rPr>
        <w:t>demand</w:t>
      </w:r>
      <w:proofErr w:type="spellEnd"/>
      <w:r>
        <w:rPr>
          <w:color w:val="222222"/>
          <w:sz w:val="21"/>
          <w:szCs w:val="21"/>
        </w:rPr>
        <w:t xml:space="preserve"> qual será a conta de faturamento, já previamente auditada”.</w:t>
      </w:r>
    </w:p>
    <w:p w14:paraId="4921FD4E" w14:textId="77777777" w:rsidR="00691BD6" w:rsidRDefault="00000000">
      <w:pPr>
        <w:pStyle w:val="Ttulo2"/>
        <w:spacing w:before="360" w:after="160"/>
      </w:pPr>
      <w:r>
        <w:rPr>
          <w:b/>
          <w:bCs/>
          <w:color w:val="0F6E6A"/>
          <w:sz w:val="24"/>
          <w:szCs w:val="24"/>
        </w:rPr>
        <w:t>5.4 Segunda opinião / auditoria automática de guias</w:t>
      </w:r>
    </w:p>
    <w:p w14:paraId="37FF702E" w14:textId="77777777" w:rsidR="00691BD6" w:rsidRDefault="00000000">
      <w:pPr>
        <w:spacing w:after="160" w:line="300" w:lineRule="auto"/>
        <w:jc w:val="both"/>
      </w:pPr>
      <w:r>
        <w:rPr>
          <w:color w:val="222222"/>
          <w:sz w:val="21"/>
          <w:szCs w:val="21"/>
        </w:rPr>
        <w:t xml:space="preserve">Checagem paralela e independente de cada guia contra o dossiê vivo (código válido na data, valor correto, elegibilidade do beneficiado, documentação exigida presente) — funciona tanto como </w:t>
      </w:r>
      <w:proofErr w:type="spellStart"/>
      <w:r>
        <w:rPr>
          <w:color w:val="222222"/>
          <w:sz w:val="21"/>
          <w:szCs w:val="21"/>
        </w:rPr>
        <w:t>pré</w:t>
      </w:r>
      <w:proofErr w:type="spellEnd"/>
      <w:r>
        <w:rPr>
          <w:color w:val="222222"/>
          <w:sz w:val="21"/>
          <w:szCs w:val="21"/>
        </w:rPr>
        <w:t>-checagem do prestador quanto como auditoria de recebimento da operadora, sem que as duas partes precisem compartilhar o mesmo sistema.</w:t>
      </w:r>
    </w:p>
    <w:p w14:paraId="5D7F5C31" w14:textId="77777777" w:rsidR="00691BD6" w:rsidRDefault="00000000">
      <w:pPr>
        <w:pStyle w:val="Ttulo2"/>
        <w:spacing w:before="360" w:after="160"/>
      </w:pPr>
      <w:r>
        <w:rPr>
          <w:b/>
          <w:bCs/>
          <w:color w:val="0F6E6A"/>
          <w:sz w:val="24"/>
          <w:szCs w:val="24"/>
        </w:rPr>
        <w:t>5.5 Radar de mudanças e compliance</w:t>
      </w:r>
    </w:p>
    <w:p w14:paraId="7A00A893" w14:textId="77777777" w:rsidR="00691BD6" w:rsidRDefault="00000000">
      <w:pPr>
        <w:spacing w:after="160" w:line="300" w:lineRule="auto"/>
        <w:jc w:val="both"/>
      </w:pPr>
      <w:r>
        <w:rPr>
          <w:color w:val="222222"/>
          <w:sz w:val="21"/>
          <w:szCs w:val="21"/>
        </w:rPr>
        <w:t xml:space="preserve">Monitora prazos de validação cadastral (os 12 documentos da RN510/22), calendário regulatório (ANS, ANVISA/NOTIVISA, ANPD) e </w:t>
      </w:r>
      <w:proofErr w:type="spellStart"/>
      <w:r>
        <w:rPr>
          <w:color w:val="222222"/>
          <w:sz w:val="21"/>
          <w:szCs w:val="21"/>
        </w:rPr>
        <w:t>SLAs</w:t>
      </w:r>
      <w:proofErr w:type="spellEnd"/>
      <w:r>
        <w:rPr>
          <w:color w:val="222222"/>
          <w:sz w:val="21"/>
          <w:szCs w:val="21"/>
        </w:rPr>
        <w:t xml:space="preserve"> de notificação de incidente/solicitação de titular, sinalizando com antecedência — não no dia do vencimento.</w:t>
      </w:r>
    </w:p>
    <w:p w14:paraId="06501B5F" w14:textId="77777777" w:rsidR="00691BD6" w:rsidRDefault="00000000">
      <w:pPr>
        <w:pStyle w:val="Ttulo2"/>
        <w:spacing w:before="360" w:after="160"/>
      </w:pPr>
      <w:r>
        <w:rPr>
          <w:b/>
          <w:bCs/>
          <w:color w:val="0F6E6A"/>
          <w:sz w:val="24"/>
          <w:szCs w:val="24"/>
        </w:rPr>
        <w:t>5.6 Painel de rastreabilidade</w:t>
      </w:r>
    </w:p>
    <w:p w14:paraId="4A36CAAD" w14:textId="77777777" w:rsidR="00691BD6" w:rsidRDefault="00000000">
      <w:pPr>
        <w:spacing w:after="160" w:line="300" w:lineRule="auto"/>
        <w:jc w:val="both"/>
      </w:pPr>
      <w:r>
        <w:rPr>
          <w:color w:val="222222"/>
          <w:sz w:val="21"/>
          <w:szCs w:val="21"/>
        </w:rPr>
        <w:t>Linha do tempo navegável do contrato: cada aditivo, carta e comunicado como um nó conectado ao evento que o motivou e à versão do dossiê que ele alterou — a reconstrução automática da tabela da seção 1.</w:t>
      </w:r>
    </w:p>
    <w:p w14:paraId="330A2D69" w14:textId="77777777" w:rsidR="00691BD6" w:rsidRDefault="00000000">
      <w:r>
        <w:br w:type="page"/>
      </w:r>
    </w:p>
    <w:p w14:paraId="287CD177" w14:textId="77777777" w:rsidR="00691BD6" w:rsidRDefault="00000000">
      <w:pPr>
        <w:pStyle w:val="Ttulo1"/>
        <w:pBdr>
          <w:bottom w:val="single" w:sz="6" w:space="4" w:color="1F3552"/>
        </w:pBdr>
        <w:spacing w:before="480" w:after="200"/>
      </w:pPr>
      <w:r>
        <w:rPr>
          <w:b/>
          <w:bCs/>
          <w:color w:val="1F3552"/>
          <w:sz w:val="30"/>
          <w:szCs w:val="30"/>
        </w:rPr>
        <w:lastRenderedPageBreak/>
        <w:t>6. Arquitetura técnica local-</w:t>
      </w:r>
      <w:proofErr w:type="spellStart"/>
      <w:r>
        <w:rPr>
          <w:b/>
          <w:bCs/>
          <w:color w:val="1F3552"/>
          <w:sz w:val="30"/>
          <w:szCs w:val="30"/>
        </w:rPr>
        <w:t>first</w:t>
      </w:r>
      <w:proofErr w:type="spellEnd"/>
    </w:p>
    <w:p w14:paraId="577C7E2C" w14:textId="77777777" w:rsidR="00691BD6" w:rsidRDefault="00000000">
      <w:pPr>
        <w:spacing w:after="160" w:line="300" w:lineRule="auto"/>
        <w:jc w:val="both"/>
      </w:pPr>
      <w:r>
        <w:rPr>
          <w:color w:val="222222"/>
          <w:sz w:val="21"/>
          <w:szCs w:val="21"/>
        </w:rPr>
        <w:t xml:space="preserve">Contratos com operadoras contêm dados comercialmente sensíveis (tabelas de preço, condições de rede) e, quando cruzados com guias de faturamento, dados pessoais de saúde de </w:t>
      </w:r>
      <w:proofErr w:type="spellStart"/>
      <w:r>
        <w:rPr>
          <w:color w:val="222222"/>
          <w:sz w:val="21"/>
          <w:szCs w:val="21"/>
        </w:rPr>
        <w:t>beneficiaríos</w:t>
      </w:r>
      <w:proofErr w:type="spellEnd"/>
      <w:r>
        <w:rPr>
          <w:color w:val="222222"/>
          <w:sz w:val="21"/>
          <w:szCs w:val="21"/>
        </w:rPr>
        <w:t xml:space="preserve"> — categoria sensível sob a LGPD, expressamente citada no próprio aditivo analisado (“Dados Pessoais sensíveis, como dados referentes à saúde”). O princípio de arquitetura, conforme solicitado, é manter o processamento local sempre que possível e nunca exportar documento, guia ou dado de beneficiado para serviço de nuvem pública.</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4000"/>
      </w:tblGrid>
      <w:tr w:rsidR="00691BD6" w14:paraId="166B4B3E" w14:textId="77777777">
        <w:tblPrEx>
          <w:tblCellMar>
            <w:top w:w="0" w:type="dxa"/>
            <w:bottom w:w="0" w:type="dxa"/>
          </w:tblCellMar>
        </w:tblPrEx>
        <w:trPr>
          <w:tblHeader/>
        </w:trPr>
        <w:tc>
          <w:tcPr>
            <w:tcW w:w="2600" w:type="dxa"/>
            <w:shd w:val="clear" w:color="auto" w:fill="1F3552"/>
            <w:tcMar>
              <w:top w:w="100" w:type="dxa"/>
              <w:left w:w="120" w:type="dxa"/>
              <w:bottom w:w="100" w:type="dxa"/>
              <w:right w:w="120" w:type="dxa"/>
            </w:tcMar>
            <w:vAlign w:val="center"/>
          </w:tcPr>
          <w:p w14:paraId="5E0143CF" w14:textId="77777777" w:rsidR="00691BD6" w:rsidRDefault="00000000">
            <w:r>
              <w:rPr>
                <w:b/>
                <w:bCs/>
                <w:color w:val="FFFFFF"/>
                <w:sz w:val="19"/>
                <w:szCs w:val="19"/>
              </w:rPr>
              <w:t>Camada</w:t>
            </w:r>
          </w:p>
        </w:tc>
        <w:tc>
          <w:tcPr>
            <w:tcW w:w="4000" w:type="dxa"/>
            <w:shd w:val="clear" w:color="auto" w:fill="1F3552"/>
            <w:tcMar>
              <w:top w:w="100" w:type="dxa"/>
              <w:left w:w="120" w:type="dxa"/>
              <w:bottom w:w="100" w:type="dxa"/>
              <w:right w:w="120" w:type="dxa"/>
            </w:tcMar>
            <w:vAlign w:val="center"/>
          </w:tcPr>
          <w:p w14:paraId="719356A1" w14:textId="77777777" w:rsidR="00691BD6" w:rsidRDefault="00000000">
            <w:r>
              <w:rPr>
                <w:b/>
                <w:bCs/>
                <w:color w:val="FFFFFF"/>
                <w:sz w:val="19"/>
                <w:szCs w:val="19"/>
              </w:rPr>
              <w:t>Onde roda</w:t>
            </w:r>
          </w:p>
        </w:tc>
        <w:tc>
          <w:tcPr>
            <w:tcW w:w="4000" w:type="dxa"/>
            <w:shd w:val="clear" w:color="auto" w:fill="1F3552"/>
            <w:tcMar>
              <w:top w:w="100" w:type="dxa"/>
              <w:left w:w="120" w:type="dxa"/>
              <w:bottom w:w="100" w:type="dxa"/>
              <w:right w:w="120" w:type="dxa"/>
            </w:tcMar>
            <w:vAlign w:val="center"/>
          </w:tcPr>
          <w:p w14:paraId="3C6F570C" w14:textId="77777777" w:rsidR="00691BD6" w:rsidRDefault="00000000">
            <w:r>
              <w:rPr>
                <w:b/>
                <w:bCs/>
                <w:color w:val="FFFFFF"/>
                <w:sz w:val="19"/>
                <w:szCs w:val="19"/>
              </w:rPr>
              <w:t>Função</w:t>
            </w:r>
          </w:p>
        </w:tc>
      </w:tr>
      <w:tr w:rsidR="00691BD6" w14:paraId="1530C9C8" w14:textId="77777777">
        <w:tblPrEx>
          <w:tblCellMar>
            <w:top w:w="0" w:type="dxa"/>
            <w:bottom w:w="0" w:type="dxa"/>
          </w:tblCellMar>
        </w:tblPrEx>
        <w:tc>
          <w:tcPr>
            <w:tcW w:w="2600" w:type="dxa"/>
            <w:tcMar>
              <w:top w:w="100" w:type="dxa"/>
              <w:left w:w="120" w:type="dxa"/>
              <w:bottom w:w="100" w:type="dxa"/>
              <w:right w:w="120" w:type="dxa"/>
            </w:tcMar>
            <w:vAlign w:val="center"/>
          </w:tcPr>
          <w:p w14:paraId="2D3241DF" w14:textId="77777777" w:rsidR="00691BD6" w:rsidRDefault="00000000">
            <w:r>
              <w:rPr>
                <w:color w:val="222222"/>
                <w:sz w:val="19"/>
                <w:szCs w:val="19"/>
              </w:rPr>
              <w:t>Ingestão</w:t>
            </w:r>
          </w:p>
        </w:tc>
        <w:tc>
          <w:tcPr>
            <w:tcW w:w="4000" w:type="dxa"/>
            <w:tcMar>
              <w:top w:w="100" w:type="dxa"/>
              <w:left w:w="120" w:type="dxa"/>
              <w:bottom w:w="100" w:type="dxa"/>
              <w:right w:w="120" w:type="dxa"/>
            </w:tcMar>
            <w:vAlign w:val="center"/>
          </w:tcPr>
          <w:p w14:paraId="7C15D243" w14:textId="77777777" w:rsidR="00691BD6" w:rsidRDefault="00000000">
            <w:proofErr w:type="spellStart"/>
            <w:r>
              <w:rPr>
                <w:color w:val="222222"/>
                <w:sz w:val="19"/>
                <w:szCs w:val="19"/>
              </w:rPr>
              <w:t>On-premise</w:t>
            </w:r>
            <w:proofErr w:type="spellEnd"/>
            <w:r>
              <w:rPr>
                <w:color w:val="222222"/>
                <w:sz w:val="19"/>
                <w:szCs w:val="19"/>
              </w:rPr>
              <w:t xml:space="preserve"> / pasta local monitorada</w:t>
            </w:r>
          </w:p>
        </w:tc>
        <w:tc>
          <w:tcPr>
            <w:tcW w:w="4000" w:type="dxa"/>
            <w:tcMar>
              <w:top w:w="100" w:type="dxa"/>
              <w:left w:w="120" w:type="dxa"/>
              <w:bottom w:w="100" w:type="dxa"/>
              <w:right w:w="120" w:type="dxa"/>
            </w:tcMar>
            <w:vAlign w:val="center"/>
          </w:tcPr>
          <w:p w14:paraId="6C3054C4" w14:textId="77777777" w:rsidR="00691BD6" w:rsidRDefault="00000000">
            <w:r>
              <w:rPr>
                <w:color w:val="222222"/>
                <w:sz w:val="19"/>
                <w:szCs w:val="19"/>
              </w:rPr>
              <w:t xml:space="preserve">Recebe </w:t>
            </w:r>
            <w:proofErr w:type="spellStart"/>
            <w:r>
              <w:rPr>
                <w:color w:val="222222"/>
                <w:sz w:val="19"/>
                <w:szCs w:val="19"/>
              </w:rPr>
              <w:t>PDFs</w:t>
            </w:r>
            <w:proofErr w:type="spellEnd"/>
            <w:r>
              <w:rPr>
                <w:color w:val="222222"/>
                <w:sz w:val="19"/>
                <w:szCs w:val="19"/>
              </w:rPr>
              <w:t xml:space="preserve"> de contrato, aditivo, carta, guia — sem upload externo</w:t>
            </w:r>
          </w:p>
        </w:tc>
      </w:tr>
      <w:tr w:rsidR="00691BD6" w14:paraId="222966B0"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0BB9CAC3" w14:textId="77777777" w:rsidR="00691BD6" w:rsidRDefault="00000000">
            <w:r>
              <w:rPr>
                <w:color w:val="222222"/>
                <w:sz w:val="19"/>
                <w:szCs w:val="19"/>
              </w:rPr>
              <w:t>OCR</w:t>
            </w:r>
          </w:p>
        </w:tc>
        <w:tc>
          <w:tcPr>
            <w:tcW w:w="4000" w:type="dxa"/>
            <w:shd w:val="clear" w:color="auto" w:fill="F2F2F2"/>
            <w:tcMar>
              <w:top w:w="100" w:type="dxa"/>
              <w:left w:w="120" w:type="dxa"/>
              <w:bottom w:w="100" w:type="dxa"/>
              <w:right w:w="120" w:type="dxa"/>
            </w:tcMar>
            <w:vAlign w:val="center"/>
          </w:tcPr>
          <w:p w14:paraId="71A44ACB" w14:textId="77777777" w:rsidR="00691BD6" w:rsidRDefault="00000000">
            <w:proofErr w:type="spellStart"/>
            <w:r>
              <w:rPr>
                <w:color w:val="222222"/>
                <w:sz w:val="19"/>
                <w:szCs w:val="19"/>
              </w:rPr>
              <w:t>On-premise</w:t>
            </w:r>
            <w:proofErr w:type="spellEnd"/>
            <w:r>
              <w:rPr>
                <w:color w:val="222222"/>
                <w:sz w:val="19"/>
                <w:szCs w:val="19"/>
              </w:rPr>
              <w:t xml:space="preserve"> (ex.: </w:t>
            </w:r>
            <w:proofErr w:type="spellStart"/>
            <w:r>
              <w:rPr>
                <w:color w:val="222222"/>
                <w:sz w:val="19"/>
                <w:szCs w:val="19"/>
              </w:rPr>
              <w:t>Tesseract</w:t>
            </w:r>
            <w:proofErr w:type="spellEnd"/>
            <w:r>
              <w:rPr>
                <w:color w:val="222222"/>
                <w:sz w:val="19"/>
                <w:szCs w:val="19"/>
              </w:rPr>
              <w:t xml:space="preserve"> / </w:t>
            </w:r>
            <w:proofErr w:type="spellStart"/>
            <w:r>
              <w:rPr>
                <w:color w:val="222222"/>
                <w:sz w:val="19"/>
                <w:szCs w:val="19"/>
              </w:rPr>
              <w:t>Docling</w:t>
            </w:r>
            <w:proofErr w:type="spellEnd"/>
            <w:r>
              <w:rPr>
                <w:color w:val="222222"/>
                <w:sz w:val="19"/>
                <w:szCs w:val="19"/>
              </w:rPr>
              <w:t>)</w:t>
            </w:r>
          </w:p>
        </w:tc>
        <w:tc>
          <w:tcPr>
            <w:tcW w:w="4000" w:type="dxa"/>
            <w:shd w:val="clear" w:color="auto" w:fill="F2F2F2"/>
            <w:tcMar>
              <w:top w:w="100" w:type="dxa"/>
              <w:left w:w="120" w:type="dxa"/>
              <w:bottom w:w="100" w:type="dxa"/>
              <w:right w:w="120" w:type="dxa"/>
            </w:tcMar>
            <w:vAlign w:val="center"/>
          </w:tcPr>
          <w:p w14:paraId="46D6312D" w14:textId="77777777" w:rsidR="00691BD6" w:rsidRDefault="00000000">
            <w:r>
              <w:rPr>
                <w:color w:val="222222"/>
                <w:sz w:val="19"/>
                <w:szCs w:val="19"/>
              </w:rPr>
              <w:t>Converte documentos escaneados em texto pesquisável</w:t>
            </w:r>
          </w:p>
        </w:tc>
      </w:tr>
      <w:tr w:rsidR="00691BD6" w14:paraId="6E670E43" w14:textId="77777777">
        <w:tblPrEx>
          <w:tblCellMar>
            <w:top w:w="0" w:type="dxa"/>
            <w:bottom w:w="0" w:type="dxa"/>
          </w:tblCellMar>
        </w:tblPrEx>
        <w:tc>
          <w:tcPr>
            <w:tcW w:w="2600" w:type="dxa"/>
            <w:tcMar>
              <w:top w:w="100" w:type="dxa"/>
              <w:left w:w="120" w:type="dxa"/>
              <w:bottom w:w="100" w:type="dxa"/>
              <w:right w:w="120" w:type="dxa"/>
            </w:tcMar>
            <w:vAlign w:val="center"/>
          </w:tcPr>
          <w:p w14:paraId="29553186" w14:textId="77777777" w:rsidR="00691BD6" w:rsidRDefault="00000000">
            <w:r>
              <w:rPr>
                <w:color w:val="222222"/>
                <w:sz w:val="19"/>
                <w:szCs w:val="19"/>
              </w:rPr>
              <w:t>Extração estruturada (LLM)</w:t>
            </w:r>
          </w:p>
        </w:tc>
        <w:tc>
          <w:tcPr>
            <w:tcW w:w="4000" w:type="dxa"/>
            <w:tcMar>
              <w:top w:w="100" w:type="dxa"/>
              <w:left w:w="120" w:type="dxa"/>
              <w:bottom w:w="100" w:type="dxa"/>
              <w:right w:w="120" w:type="dxa"/>
            </w:tcMar>
            <w:vAlign w:val="center"/>
          </w:tcPr>
          <w:p w14:paraId="4459B560" w14:textId="77777777" w:rsidR="00691BD6" w:rsidRDefault="00000000">
            <w:r>
              <w:rPr>
                <w:color w:val="222222"/>
                <w:sz w:val="19"/>
                <w:szCs w:val="19"/>
              </w:rPr>
              <w:t>Modelo local, self-</w:t>
            </w:r>
            <w:proofErr w:type="spellStart"/>
            <w:r>
              <w:rPr>
                <w:color w:val="222222"/>
                <w:sz w:val="19"/>
                <w:szCs w:val="19"/>
              </w:rPr>
              <w:t>hosted</w:t>
            </w:r>
            <w:proofErr w:type="spellEnd"/>
            <w:r>
              <w:rPr>
                <w:color w:val="222222"/>
                <w:sz w:val="19"/>
                <w:szCs w:val="19"/>
              </w:rPr>
              <w:t xml:space="preserve"> (open-</w:t>
            </w:r>
            <w:proofErr w:type="spellStart"/>
            <w:r>
              <w:rPr>
                <w:color w:val="222222"/>
                <w:sz w:val="19"/>
                <w:szCs w:val="19"/>
              </w:rPr>
              <w:t>weight</w:t>
            </w:r>
            <w:proofErr w:type="spellEnd"/>
            <w:r>
              <w:rPr>
                <w:color w:val="222222"/>
                <w:sz w:val="19"/>
                <w:szCs w:val="19"/>
              </w:rPr>
              <w:t xml:space="preserve">, via </w:t>
            </w:r>
            <w:proofErr w:type="spellStart"/>
            <w:r>
              <w:rPr>
                <w:color w:val="222222"/>
                <w:sz w:val="19"/>
                <w:szCs w:val="19"/>
              </w:rPr>
              <w:t>Ollama</w:t>
            </w:r>
            <w:proofErr w:type="spellEnd"/>
            <w:r>
              <w:rPr>
                <w:color w:val="222222"/>
                <w:sz w:val="19"/>
                <w:szCs w:val="19"/>
              </w:rPr>
              <w:t>/</w:t>
            </w:r>
            <w:proofErr w:type="spellStart"/>
            <w:r>
              <w:rPr>
                <w:color w:val="222222"/>
                <w:sz w:val="19"/>
                <w:szCs w:val="19"/>
              </w:rPr>
              <w:t>vLLM</w:t>
            </w:r>
            <w:proofErr w:type="spellEnd"/>
            <w:r>
              <w:rPr>
                <w:color w:val="222222"/>
                <w:sz w:val="19"/>
                <w:szCs w:val="19"/>
              </w:rPr>
              <w:t xml:space="preserve">), orquestrado pelo Hermes </w:t>
            </w:r>
            <w:proofErr w:type="spellStart"/>
            <w:r>
              <w:rPr>
                <w:color w:val="222222"/>
                <w:sz w:val="19"/>
                <w:szCs w:val="19"/>
              </w:rPr>
              <w:t>multimodelo</w:t>
            </w:r>
            <w:proofErr w:type="spellEnd"/>
            <w:r>
              <w:rPr>
                <w:color w:val="222222"/>
                <w:sz w:val="19"/>
                <w:szCs w:val="19"/>
              </w:rPr>
              <w:t xml:space="preserve"> já em uso na RAY.IA</w:t>
            </w:r>
          </w:p>
        </w:tc>
        <w:tc>
          <w:tcPr>
            <w:tcW w:w="4000" w:type="dxa"/>
            <w:tcMar>
              <w:top w:w="100" w:type="dxa"/>
              <w:left w:w="120" w:type="dxa"/>
              <w:bottom w:w="100" w:type="dxa"/>
              <w:right w:w="120" w:type="dxa"/>
            </w:tcMar>
            <w:vAlign w:val="center"/>
          </w:tcPr>
          <w:p w14:paraId="408FF998" w14:textId="77777777" w:rsidR="00691BD6" w:rsidRDefault="00000000">
            <w:r>
              <w:rPr>
                <w:color w:val="222222"/>
                <w:sz w:val="19"/>
                <w:szCs w:val="19"/>
              </w:rPr>
              <w:t>Extrai partes, códigos, valores, datas e cláusulas para o dossiê vivo</w:t>
            </w:r>
          </w:p>
        </w:tc>
      </w:tr>
      <w:tr w:rsidR="00691BD6" w14:paraId="3C65F292"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029B1C93" w14:textId="77777777" w:rsidR="00691BD6" w:rsidRDefault="00000000">
            <w:r>
              <w:rPr>
                <w:color w:val="222222"/>
                <w:sz w:val="19"/>
                <w:szCs w:val="19"/>
              </w:rPr>
              <w:t>Banco de dados</w:t>
            </w:r>
          </w:p>
        </w:tc>
        <w:tc>
          <w:tcPr>
            <w:tcW w:w="4000" w:type="dxa"/>
            <w:shd w:val="clear" w:color="auto" w:fill="F2F2F2"/>
            <w:tcMar>
              <w:top w:w="100" w:type="dxa"/>
              <w:left w:w="120" w:type="dxa"/>
              <w:bottom w:w="100" w:type="dxa"/>
              <w:right w:w="120" w:type="dxa"/>
            </w:tcMar>
            <w:vAlign w:val="center"/>
          </w:tcPr>
          <w:p w14:paraId="13A3ED06" w14:textId="77777777" w:rsidR="00691BD6" w:rsidRDefault="00000000">
            <w:proofErr w:type="spellStart"/>
            <w:r>
              <w:rPr>
                <w:color w:val="222222"/>
                <w:sz w:val="19"/>
                <w:szCs w:val="19"/>
              </w:rPr>
              <w:t>Postgres</w:t>
            </w:r>
            <w:proofErr w:type="spellEnd"/>
            <w:r>
              <w:rPr>
                <w:color w:val="222222"/>
                <w:sz w:val="19"/>
                <w:szCs w:val="19"/>
              </w:rPr>
              <w:t xml:space="preserve"> local (ou VPS privado sob controle da RAY.IA/cliente)</w:t>
            </w:r>
          </w:p>
        </w:tc>
        <w:tc>
          <w:tcPr>
            <w:tcW w:w="4000" w:type="dxa"/>
            <w:shd w:val="clear" w:color="auto" w:fill="F2F2F2"/>
            <w:tcMar>
              <w:top w:w="100" w:type="dxa"/>
              <w:left w:w="120" w:type="dxa"/>
              <w:bottom w:w="100" w:type="dxa"/>
              <w:right w:w="120" w:type="dxa"/>
            </w:tcMar>
            <w:vAlign w:val="center"/>
          </w:tcPr>
          <w:p w14:paraId="12C8CCD0" w14:textId="77777777" w:rsidR="00691BD6" w:rsidRDefault="00000000">
            <w:r>
              <w:rPr>
                <w:color w:val="222222"/>
                <w:sz w:val="19"/>
                <w:szCs w:val="19"/>
              </w:rPr>
              <w:t>Armazena o dossiê vivo, histórico de versões, guias e auditorias</w:t>
            </w:r>
          </w:p>
        </w:tc>
      </w:tr>
      <w:tr w:rsidR="00691BD6" w14:paraId="60D8372A" w14:textId="77777777">
        <w:tblPrEx>
          <w:tblCellMar>
            <w:top w:w="0" w:type="dxa"/>
            <w:bottom w:w="0" w:type="dxa"/>
          </w:tblCellMar>
        </w:tblPrEx>
        <w:tc>
          <w:tcPr>
            <w:tcW w:w="2600" w:type="dxa"/>
            <w:tcMar>
              <w:top w:w="100" w:type="dxa"/>
              <w:left w:w="120" w:type="dxa"/>
              <w:bottom w:w="100" w:type="dxa"/>
              <w:right w:w="120" w:type="dxa"/>
            </w:tcMar>
            <w:vAlign w:val="center"/>
          </w:tcPr>
          <w:p w14:paraId="2E17AEEB" w14:textId="77777777" w:rsidR="00691BD6" w:rsidRDefault="00000000">
            <w:r>
              <w:rPr>
                <w:color w:val="222222"/>
                <w:sz w:val="19"/>
                <w:szCs w:val="19"/>
              </w:rPr>
              <w:t>Motor de regras e predição</w:t>
            </w:r>
          </w:p>
        </w:tc>
        <w:tc>
          <w:tcPr>
            <w:tcW w:w="4000" w:type="dxa"/>
            <w:tcMar>
              <w:top w:w="100" w:type="dxa"/>
              <w:left w:w="120" w:type="dxa"/>
              <w:bottom w:w="100" w:type="dxa"/>
              <w:right w:w="120" w:type="dxa"/>
            </w:tcMar>
            <w:vAlign w:val="center"/>
          </w:tcPr>
          <w:p w14:paraId="5D9E4C14" w14:textId="77777777" w:rsidR="00691BD6" w:rsidRDefault="00000000">
            <w:r>
              <w:rPr>
                <w:color w:val="222222"/>
                <w:sz w:val="19"/>
                <w:szCs w:val="19"/>
              </w:rPr>
              <w:t>Local</w:t>
            </w:r>
          </w:p>
        </w:tc>
        <w:tc>
          <w:tcPr>
            <w:tcW w:w="4000" w:type="dxa"/>
            <w:tcMar>
              <w:top w:w="100" w:type="dxa"/>
              <w:left w:w="120" w:type="dxa"/>
              <w:bottom w:w="100" w:type="dxa"/>
              <w:right w:w="120" w:type="dxa"/>
            </w:tcMar>
            <w:vAlign w:val="center"/>
          </w:tcPr>
          <w:p w14:paraId="1CD98BE3" w14:textId="77777777" w:rsidR="00691BD6" w:rsidRDefault="00000000">
            <w:r>
              <w:rPr>
                <w:color w:val="222222"/>
                <w:sz w:val="19"/>
                <w:szCs w:val="19"/>
              </w:rPr>
              <w:t>Simulação de faturamento, detecção de risco de glosa, checklist de compliance</w:t>
            </w:r>
          </w:p>
        </w:tc>
      </w:tr>
      <w:tr w:rsidR="00691BD6" w14:paraId="3176A6A3"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61C92CD5" w14:textId="77777777" w:rsidR="00691BD6" w:rsidRDefault="00000000">
            <w:r>
              <w:rPr>
                <w:color w:val="222222"/>
                <w:sz w:val="19"/>
                <w:szCs w:val="19"/>
              </w:rPr>
              <w:t>Interface</w:t>
            </w:r>
          </w:p>
        </w:tc>
        <w:tc>
          <w:tcPr>
            <w:tcW w:w="4000" w:type="dxa"/>
            <w:shd w:val="clear" w:color="auto" w:fill="F2F2F2"/>
            <w:tcMar>
              <w:top w:w="100" w:type="dxa"/>
              <w:left w:w="120" w:type="dxa"/>
              <w:bottom w:w="100" w:type="dxa"/>
              <w:right w:w="120" w:type="dxa"/>
            </w:tcMar>
            <w:vAlign w:val="center"/>
          </w:tcPr>
          <w:p w14:paraId="7DC9DAC4" w14:textId="77777777" w:rsidR="00691BD6" w:rsidRDefault="00000000">
            <w:r>
              <w:rPr>
                <w:color w:val="222222"/>
                <w:sz w:val="19"/>
                <w:szCs w:val="19"/>
              </w:rPr>
              <w:t>Dashboard local ou acesso via VPN/rede interna</w:t>
            </w:r>
          </w:p>
        </w:tc>
        <w:tc>
          <w:tcPr>
            <w:tcW w:w="4000" w:type="dxa"/>
            <w:shd w:val="clear" w:color="auto" w:fill="F2F2F2"/>
            <w:tcMar>
              <w:top w:w="100" w:type="dxa"/>
              <w:left w:w="120" w:type="dxa"/>
              <w:bottom w:w="100" w:type="dxa"/>
              <w:right w:w="120" w:type="dxa"/>
            </w:tcMar>
            <w:vAlign w:val="center"/>
          </w:tcPr>
          <w:p w14:paraId="43DA86EA" w14:textId="77777777" w:rsidR="00691BD6" w:rsidRDefault="00000000">
            <w:r>
              <w:rPr>
                <w:color w:val="222222"/>
                <w:sz w:val="19"/>
                <w:szCs w:val="19"/>
              </w:rPr>
              <w:t>Consulta, alertas, linha do tempo do contrato</w:t>
            </w:r>
          </w:p>
        </w:tc>
      </w:tr>
    </w:tbl>
    <w:p w14:paraId="2FE376B6" w14:textId="77777777" w:rsidR="00691BD6" w:rsidRDefault="00000000">
      <w:pPr>
        <w:pStyle w:val="Ttulo2"/>
        <w:spacing w:before="360" w:after="160"/>
      </w:pPr>
      <w:r>
        <w:rPr>
          <w:b/>
          <w:bCs/>
          <w:color w:val="0F6E6A"/>
          <w:sz w:val="24"/>
          <w:szCs w:val="24"/>
        </w:rPr>
        <w:t>6.1 Quando (e como) usar modelo em nuvem</w:t>
      </w:r>
    </w:p>
    <w:p w14:paraId="444DE023" w14:textId="77777777" w:rsidR="00691BD6" w:rsidRDefault="00000000">
      <w:pPr>
        <w:spacing w:after="160" w:line="300" w:lineRule="auto"/>
        <w:jc w:val="both"/>
      </w:pPr>
      <w:r>
        <w:rPr>
          <w:color w:val="222222"/>
          <w:sz w:val="21"/>
          <w:szCs w:val="21"/>
        </w:rPr>
        <w:t>Se alguma tarefa exigir capacidade de modelo em nuvem que o modelo local não entrega (ex.: raciocínio jurídico mais complexo em texto longo), o roteamento deve passar por uma etapa de anonimização/</w:t>
      </w:r>
      <w:proofErr w:type="spellStart"/>
      <w:r>
        <w:rPr>
          <w:color w:val="222222"/>
          <w:sz w:val="21"/>
          <w:szCs w:val="21"/>
        </w:rPr>
        <w:t>pseudonimização</w:t>
      </w:r>
      <w:proofErr w:type="spellEnd"/>
      <w:r>
        <w:rPr>
          <w:color w:val="222222"/>
          <w:sz w:val="21"/>
          <w:szCs w:val="21"/>
        </w:rPr>
        <w:t xml:space="preserve"> prévia — nunca enviando CPF, nome de beneficiado, número de guia ou dado clínico. O Hermes </w:t>
      </w:r>
      <w:proofErr w:type="spellStart"/>
      <w:r>
        <w:rPr>
          <w:color w:val="222222"/>
          <w:sz w:val="21"/>
          <w:szCs w:val="21"/>
        </w:rPr>
        <w:t>multimodelo</w:t>
      </w:r>
      <w:proofErr w:type="spellEnd"/>
      <w:r>
        <w:rPr>
          <w:color w:val="222222"/>
          <w:sz w:val="21"/>
          <w:szCs w:val="21"/>
        </w:rPr>
        <w:t xml:space="preserve"> já usado internamente é o ponto natural para essa política de roteamento por sensibilidade, mantendo como padrão o modelo local e a nuvem como exceção explícita e auditada.</w:t>
      </w:r>
    </w:p>
    <w:p w14:paraId="7A9C6525" w14:textId="77777777" w:rsidR="00691BD6" w:rsidRDefault="00000000">
      <w:pPr>
        <w:pStyle w:val="Ttulo2"/>
        <w:spacing w:before="360" w:after="160"/>
      </w:pPr>
      <w:r>
        <w:rPr>
          <w:b/>
          <w:bCs/>
          <w:color w:val="0F6E6A"/>
          <w:sz w:val="24"/>
          <w:szCs w:val="24"/>
        </w:rPr>
        <w:t>6.2 Segurança e conformidade</w:t>
      </w:r>
    </w:p>
    <w:p w14:paraId="5CE132C0" w14:textId="77777777" w:rsidR="00691BD6" w:rsidRDefault="00000000">
      <w:pPr>
        <w:pStyle w:val="PargrafodaLista"/>
        <w:numPr>
          <w:ilvl w:val="0"/>
          <w:numId w:val="2"/>
        </w:numPr>
        <w:spacing w:after="100" w:line="280" w:lineRule="auto"/>
      </w:pPr>
      <w:r>
        <w:rPr>
          <w:color w:val="222222"/>
          <w:sz w:val="21"/>
          <w:szCs w:val="21"/>
        </w:rPr>
        <w:t>Criptografia em repouso e em trânsito interno</w:t>
      </w:r>
    </w:p>
    <w:p w14:paraId="4664E8C2" w14:textId="77777777" w:rsidR="00691BD6" w:rsidRDefault="00000000">
      <w:pPr>
        <w:pStyle w:val="PargrafodaLista"/>
        <w:numPr>
          <w:ilvl w:val="0"/>
          <w:numId w:val="2"/>
        </w:numPr>
        <w:spacing w:after="100" w:line="280" w:lineRule="auto"/>
      </w:pPr>
      <w:r>
        <w:rPr>
          <w:color w:val="222222"/>
          <w:sz w:val="21"/>
          <w:szCs w:val="21"/>
        </w:rPr>
        <w:t>Controle de acesso baseado em papel (jurídico, faturamento, compliance, diretoria)</w:t>
      </w:r>
    </w:p>
    <w:p w14:paraId="284241BB" w14:textId="77777777" w:rsidR="00691BD6" w:rsidRDefault="00000000">
      <w:pPr>
        <w:pStyle w:val="PargrafodaLista"/>
        <w:numPr>
          <w:ilvl w:val="0"/>
          <w:numId w:val="2"/>
        </w:numPr>
        <w:spacing w:after="100" w:line="280" w:lineRule="auto"/>
      </w:pPr>
      <w:r>
        <w:rPr>
          <w:color w:val="222222"/>
          <w:sz w:val="21"/>
          <w:szCs w:val="21"/>
        </w:rPr>
        <w:t>Log de auditoria imutável de todo acesso e alteração no dossiê</w:t>
      </w:r>
    </w:p>
    <w:p w14:paraId="10E061F4" w14:textId="77777777" w:rsidR="00691BD6" w:rsidRDefault="00000000">
      <w:pPr>
        <w:pStyle w:val="PargrafodaLista"/>
        <w:numPr>
          <w:ilvl w:val="0"/>
          <w:numId w:val="2"/>
        </w:numPr>
        <w:spacing w:after="100" w:line="280" w:lineRule="auto"/>
      </w:pPr>
      <w:r>
        <w:rPr>
          <w:color w:val="222222"/>
          <w:sz w:val="21"/>
          <w:szCs w:val="21"/>
        </w:rPr>
        <w:t>Retenção e descarte alinhados à própria cláusula de sigilo pós-rescisão presente no contrato-base</w:t>
      </w:r>
    </w:p>
    <w:p w14:paraId="0B1A77E7" w14:textId="77777777" w:rsidR="00691BD6" w:rsidRDefault="00000000">
      <w:pPr>
        <w:pStyle w:val="PargrafodaLista"/>
        <w:numPr>
          <w:ilvl w:val="0"/>
          <w:numId w:val="2"/>
        </w:numPr>
        <w:spacing w:after="100" w:line="280" w:lineRule="auto"/>
      </w:pPr>
      <w:r>
        <w:rPr>
          <w:color w:val="222222"/>
          <w:sz w:val="21"/>
          <w:szCs w:val="21"/>
        </w:rPr>
        <w:t>Capacidade de gerar, sob demanda, o relatório de impacto à proteção de dados citado no aditivo — hoje uma obrigação manual, no produto vira exportação automática</w:t>
      </w:r>
    </w:p>
    <w:p w14:paraId="11769D7B" w14:textId="77777777" w:rsidR="00691BD6" w:rsidRDefault="00000000">
      <w:r>
        <w:br w:type="page"/>
      </w:r>
    </w:p>
    <w:p w14:paraId="0E8432E1" w14:textId="77777777" w:rsidR="00691BD6" w:rsidRDefault="00000000">
      <w:pPr>
        <w:pStyle w:val="Ttulo1"/>
        <w:pBdr>
          <w:bottom w:val="single" w:sz="6" w:space="4" w:color="1F3552"/>
        </w:pBdr>
        <w:spacing w:before="480" w:after="200"/>
      </w:pPr>
      <w:r>
        <w:rPr>
          <w:b/>
          <w:bCs/>
          <w:color w:val="1F3552"/>
          <w:sz w:val="30"/>
          <w:szCs w:val="30"/>
        </w:rPr>
        <w:lastRenderedPageBreak/>
        <w:t>7. Extrapolação para os demais tipos de prestador</w:t>
      </w:r>
    </w:p>
    <w:p w14:paraId="00A0A840" w14:textId="77777777" w:rsidR="00691BD6" w:rsidRDefault="00000000">
      <w:pPr>
        <w:spacing w:after="160" w:line="300" w:lineRule="auto"/>
        <w:jc w:val="both"/>
      </w:pPr>
      <w:r>
        <w:rPr>
          <w:color w:val="222222"/>
          <w:sz w:val="21"/>
          <w:szCs w:val="21"/>
        </w:rPr>
        <w:t>O motor (seção 5) e o dossiê vivo (seção 4) são os mesmos para qualquer prestador — o que muda é o dicionário de variáveis contratuais e os pontos de risco específicos de cada segmento. A tabela abaixo generaliza o padrão observado no caso oncológico para os demais tipos citados.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4300"/>
      </w:tblGrid>
      <w:tr w:rsidR="00691BD6" w14:paraId="3F262D79" w14:textId="77777777">
        <w:tblPrEx>
          <w:tblCellMar>
            <w:top w:w="0" w:type="dxa"/>
            <w:bottom w:w="0" w:type="dxa"/>
          </w:tblCellMar>
        </w:tblPrEx>
        <w:trPr>
          <w:tblHeader/>
        </w:trPr>
        <w:tc>
          <w:tcPr>
            <w:tcW w:w="2300" w:type="dxa"/>
            <w:shd w:val="clear" w:color="auto" w:fill="1F3552"/>
            <w:tcMar>
              <w:top w:w="100" w:type="dxa"/>
              <w:left w:w="120" w:type="dxa"/>
              <w:bottom w:w="100" w:type="dxa"/>
              <w:right w:w="120" w:type="dxa"/>
            </w:tcMar>
            <w:vAlign w:val="center"/>
          </w:tcPr>
          <w:p w14:paraId="2E634FCE" w14:textId="77777777" w:rsidR="00691BD6" w:rsidRDefault="00000000">
            <w:r>
              <w:rPr>
                <w:b/>
                <w:bCs/>
                <w:color w:val="FFFFFF"/>
                <w:sz w:val="19"/>
                <w:szCs w:val="19"/>
              </w:rPr>
              <w:t>Tipo de prestador</w:t>
            </w:r>
          </w:p>
        </w:tc>
        <w:tc>
          <w:tcPr>
            <w:tcW w:w="3700" w:type="dxa"/>
            <w:shd w:val="clear" w:color="auto" w:fill="1F3552"/>
            <w:tcMar>
              <w:top w:w="100" w:type="dxa"/>
              <w:left w:w="120" w:type="dxa"/>
              <w:bottom w:w="100" w:type="dxa"/>
              <w:right w:w="120" w:type="dxa"/>
            </w:tcMar>
            <w:vAlign w:val="center"/>
          </w:tcPr>
          <w:p w14:paraId="32F9604A" w14:textId="77777777" w:rsidR="00691BD6" w:rsidRDefault="00000000">
            <w:r>
              <w:rPr>
                <w:b/>
                <w:bCs/>
                <w:color w:val="FFFFFF"/>
                <w:sz w:val="19"/>
                <w:szCs w:val="19"/>
              </w:rPr>
              <w:t>Variáveis contratuais específicas</w:t>
            </w:r>
          </w:p>
        </w:tc>
        <w:tc>
          <w:tcPr>
            <w:tcW w:w="4300" w:type="dxa"/>
            <w:shd w:val="clear" w:color="auto" w:fill="1F3552"/>
            <w:tcMar>
              <w:top w:w="100" w:type="dxa"/>
              <w:left w:w="120" w:type="dxa"/>
              <w:bottom w:w="100" w:type="dxa"/>
              <w:right w:w="120" w:type="dxa"/>
            </w:tcMar>
            <w:vAlign w:val="center"/>
          </w:tcPr>
          <w:p w14:paraId="23EFBCAE" w14:textId="77777777" w:rsidR="00691BD6" w:rsidRDefault="00000000">
            <w:r>
              <w:rPr>
                <w:b/>
                <w:bCs/>
                <w:color w:val="FFFFFF"/>
                <w:sz w:val="19"/>
                <w:szCs w:val="19"/>
              </w:rPr>
              <w:t>Riscos típicos a prever/sinalizar</w:t>
            </w:r>
          </w:p>
        </w:tc>
      </w:tr>
      <w:tr w:rsidR="00691BD6" w14:paraId="26AE57C0" w14:textId="77777777">
        <w:tblPrEx>
          <w:tblCellMar>
            <w:top w:w="0" w:type="dxa"/>
            <w:bottom w:w="0" w:type="dxa"/>
          </w:tblCellMar>
        </w:tblPrEx>
        <w:tc>
          <w:tcPr>
            <w:tcW w:w="2300" w:type="dxa"/>
            <w:tcMar>
              <w:top w:w="100" w:type="dxa"/>
              <w:left w:w="120" w:type="dxa"/>
              <w:bottom w:w="100" w:type="dxa"/>
              <w:right w:w="120" w:type="dxa"/>
            </w:tcMar>
            <w:vAlign w:val="center"/>
          </w:tcPr>
          <w:p w14:paraId="36AB5D60" w14:textId="77777777" w:rsidR="00691BD6" w:rsidRDefault="00000000">
            <w:r>
              <w:rPr>
                <w:color w:val="222222"/>
                <w:sz w:val="19"/>
                <w:szCs w:val="19"/>
              </w:rPr>
              <w:t>Hospital</w:t>
            </w:r>
          </w:p>
        </w:tc>
        <w:tc>
          <w:tcPr>
            <w:tcW w:w="3700" w:type="dxa"/>
            <w:tcMar>
              <w:top w:w="100" w:type="dxa"/>
              <w:left w:w="120" w:type="dxa"/>
              <w:bottom w:w="100" w:type="dxa"/>
              <w:right w:w="120" w:type="dxa"/>
            </w:tcMar>
            <w:vAlign w:val="center"/>
          </w:tcPr>
          <w:p w14:paraId="672A0902" w14:textId="77777777" w:rsidR="00691BD6" w:rsidRDefault="00000000">
            <w:r>
              <w:rPr>
                <w:color w:val="222222"/>
                <w:sz w:val="19"/>
                <w:szCs w:val="19"/>
              </w:rPr>
              <w:t>Tabela de diárias, pacotes cirúrgicos, OPME, taxas de sala/UTI, honorários médicos</w:t>
            </w:r>
          </w:p>
        </w:tc>
        <w:tc>
          <w:tcPr>
            <w:tcW w:w="4300" w:type="dxa"/>
            <w:tcMar>
              <w:top w:w="100" w:type="dxa"/>
              <w:left w:w="120" w:type="dxa"/>
              <w:bottom w:w="100" w:type="dxa"/>
              <w:right w:w="120" w:type="dxa"/>
            </w:tcMar>
            <w:vAlign w:val="center"/>
          </w:tcPr>
          <w:p w14:paraId="52A88976" w14:textId="77777777" w:rsidR="00691BD6" w:rsidRDefault="00000000">
            <w:r>
              <w:rPr>
                <w:color w:val="222222"/>
                <w:sz w:val="19"/>
                <w:szCs w:val="19"/>
              </w:rPr>
              <w:t>Glosa por auditoria concorrente, divergência de pacote x procedimento realizado, materiais fora da tabela negociada</w:t>
            </w:r>
          </w:p>
        </w:tc>
      </w:tr>
      <w:tr w:rsidR="00691BD6" w14:paraId="57364DE9" w14:textId="77777777">
        <w:tblPrEx>
          <w:tblCellMar>
            <w:top w:w="0" w:type="dxa"/>
            <w:bottom w:w="0" w:type="dxa"/>
          </w:tblCellMar>
        </w:tblPrEx>
        <w:tc>
          <w:tcPr>
            <w:tcW w:w="2300" w:type="dxa"/>
            <w:shd w:val="clear" w:color="auto" w:fill="F2F2F2"/>
            <w:tcMar>
              <w:top w:w="100" w:type="dxa"/>
              <w:left w:w="120" w:type="dxa"/>
              <w:bottom w:w="100" w:type="dxa"/>
              <w:right w:w="120" w:type="dxa"/>
            </w:tcMar>
            <w:vAlign w:val="center"/>
          </w:tcPr>
          <w:p w14:paraId="0969191A" w14:textId="77777777" w:rsidR="00691BD6" w:rsidRDefault="00000000">
            <w:r>
              <w:rPr>
                <w:color w:val="222222"/>
                <w:sz w:val="19"/>
                <w:szCs w:val="19"/>
              </w:rPr>
              <w:t>Maternidade</w:t>
            </w:r>
          </w:p>
        </w:tc>
        <w:tc>
          <w:tcPr>
            <w:tcW w:w="3700" w:type="dxa"/>
            <w:shd w:val="clear" w:color="auto" w:fill="F2F2F2"/>
            <w:tcMar>
              <w:top w:w="100" w:type="dxa"/>
              <w:left w:w="120" w:type="dxa"/>
              <w:bottom w:w="100" w:type="dxa"/>
              <w:right w:w="120" w:type="dxa"/>
            </w:tcMar>
            <w:vAlign w:val="center"/>
          </w:tcPr>
          <w:p w14:paraId="1FF49E57" w14:textId="77777777" w:rsidR="00691BD6" w:rsidRDefault="00000000">
            <w:r>
              <w:rPr>
                <w:color w:val="222222"/>
                <w:sz w:val="19"/>
                <w:szCs w:val="19"/>
              </w:rPr>
              <w:t>Pacote parto normal/cesárea, elegibilidade obstétrica (DUM/carência), inclusão do recém-nascido como beneficiário</w:t>
            </w:r>
          </w:p>
        </w:tc>
        <w:tc>
          <w:tcPr>
            <w:tcW w:w="4300" w:type="dxa"/>
            <w:shd w:val="clear" w:color="auto" w:fill="F2F2F2"/>
            <w:tcMar>
              <w:top w:w="100" w:type="dxa"/>
              <w:left w:w="120" w:type="dxa"/>
              <w:bottom w:w="100" w:type="dxa"/>
              <w:right w:w="120" w:type="dxa"/>
            </w:tcMar>
            <w:vAlign w:val="center"/>
          </w:tcPr>
          <w:p w14:paraId="066B234F" w14:textId="77777777" w:rsidR="00691BD6" w:rsidRDefault="00000000">
            <w:r>
              <w:rPr>
                <w:color w:val="222222"/>
                <w:sz w:val="19"/>
                <w:szCs w:val="19"/>
              </w:rPr>
              <w:t>Negação por carência mal calculada, divergência entre pacote fechado e intercorrências cobradas à parte</w:t>
            </w:r>
          </w:p>
        </w:tc>
      </w:tr>
      <w:tr w:rsidR="00691BD6" w14:paraId="02C7A42B" w14:textId="77777777">
        <w:tblPrEx>
          <w:tblCellMar>
            <w:top w:w="0" w:type="dxa"/>
            <w:bottom w:w="0" w:type="dxa"/>
          </w:tblCellMar>
        </w:tblPrEx>
        <w:tc>
          <w:tcPr>
            <w:tcW w:w="2300" w:type="dxa"/>
            <w:tcMar>
              <w:top w:w="100" w:type="dxa"/>
              <w:left w:w="120" w:type="dxa"/>
              <w:bottom w:w="100" w:type="dxa"/>
              <w:right w:w="120" w:type="dxa"/>
            </w:tcMar>
            <w:vAlign w:val="center"/>
          </w:tcPr>
          <w:p w14:paraId="5957D708" w14:textId="77777777" w:rsidR="00691BD6" w:rsidRDefault="00000000">
            <w:r>
              <w:rPr>
                <w:color w:val="222222"/>
                <w:sz w:val="19"/>
                <w:szCs w:val="19"/>
              </w:rPr>
              <w:t>Laboratório</w:t>
            </w:r>
          </w:p>
        </w:tc>
        <w:tc>
          <w:tcPr>
            <w:tcW w:w="3700" w:type="dxa"/>
            <w:tcMar>
              <w:top w:w="100" w:type="dxa"/>
              <w:left w:w="120" w:type="dxa"/>
              <w:bottom w:w="100" w:type="dxa"/>
              <w:right w:w="120" w:type="dxa"/>
            </w:tcMar>
            <w:vAlign w:val="center"/>
          </w:tcPr>
          <w:p w14:paraId="19E1439F" w14:textId="77777777" w:rsidR="00691BD6" w:rsidRDefault="00000000">
            <w:r>
              <w:rPr>
                <w:color w:val="222222"/>
                <w:sz w:val="19"/>
                <w:szCs w:val="19"/>
              </w:rPr>
              <w:t>Tabela TUSS por exame, franquia, regras de pertinência clínica</w:t>
            </w:r>
          </w:p>
        </w:tc>
        <w:tc>
          <w:tcPr>
            <w:tcW w:w="4300" w:type="dxa"/>
            <w:tcMar>
              <w:top w:w="100" w:type="dxa"/>
              <w:left w:w="120" w:type="dxa"/>
              <w:bottom w:w="100" w:type="dxa"/>
              <w:right w:w="120" w:type="dxa"/>
            </w:tcMar>
            <w:vAlign w:val="center"/>
          </w:tcPr>
          <w:p w14:paraId="71EBEBF2" w14:textId="77777777" w:rsidR="00691BD6" w:rsidRDefault="00000000">
            <w:r>
              <w:rPr>
                <w:color w:val="222222"/>
                <w:sz w:val="19"/>
                <w:szCs w:val="19"/>
              </w:rPr>
              <w:t>Glosa por falta de justificativa clínica, agrupamento incorreto de exames, prazo de liberação de resultado como gatilho de SLA</w:t>
            </w:r>
          </w:p>
        </w:tc>
      </w:tr>
      <w:tr w:rsidR="00691BD6" w14:paraId="5E3C1BDB" w14:textId="77777777">
        <w:tblPrEx>
          <w:tblCellMar>
            <w:top w:w="0" w:type="dxa"/>
            <w:bottom w:w="0" w:type="dxa"/>
          </w:tblCellMar>
        </w:tblPrEx>
        <w:tc>
          <w:tcPr>
            <w:tcW w:w="2300" w:type="dxa"/>
            <w:shd w:val="clear" w:color="auto" w:fill="F2F2F2"/>
            <w:tcMar>
              <w:top w:w="100" w:type="dxa"/>
              <w:left w:w="120" w:type="dxa"/>
              <w:bottom w:w="100" w:type="dxa"/>
              <w:right w:w="120" w:type="dxa"/>
            </w:tcMar>
            <w:vAlign w:val="center"/>
          </w:tcPr>
          <w:p w14:paraId="3FF1C5D6" w14:textId="77777777" w:rsidR="00691BD6" w:rsidRDefault="00000000">
            <w:r>
              <w:rPr>
                <w:color w:val="222222"/>
                <w:sz w:val="19"/>
                <w:szCs w:val="19"/>
              </w:rPr>
              <w:t>Centro de imagem</w:t>
            </w:r>
          </w:p>
        </w:tc>
        <w:tc>
          <w:tcPr>
            <w:tcW w:w="3700" w:type="dxa"/>
            <w:shd w:val="clear" w:color="auto" w:fill="F2F2F2"/>
            <w:tcMar>
              <w:top w:w="100" w:type="dxa"/>
              <w:left w:w="120" w:type="dxa"/>
              <w:bottom w:w="100" w:type="dxa"/>
              <w:right w:w="120" w:type="dxa"/>
            </w:tcMar>
            <w:vAlign w:val="center"/>
          </w:tcPr>
          <w:p w14:paraId="393F6FC6" w14:textId="77777777" w:rsidR="00691BD6" w:rsidRDefault="00000000">
            <w:r>
              <w:rPr>
                <w:color w:val="222222"/>
                <w:sz w:val="19"/>
                <w:szCs w:val="19"/>
              </w:rPr>
              <w:t>Código por exame/modalidade, uso de contraste, laudo, prazo de entrega</w:t>
            </w:r>
          </w:p>
        </w:tc>
        <w:tc>
          <w:tcPr>
            <w:tcW w:w="4300" w:type="dxa"/>
            <w:shd w:val="clear" w:color="auto" w:fill="F2F2F2"/>
            <w:tcMar>
              <w:top w:w="100" w:type="dxa"/>
              <w:left w:w="120" w:type="dxa"/>
              <w:bottom w:w="100" w:type="dxa"/>
              <w:right w:w="120" w:type="dxa"/>
            </w:tcMar>
            <w:vAlign w:val="center"/>
          </w:tcPr>
          <w:p w14:paraId="51AFBEEB" w14:textId="77777777" w:rsidR="00691BD6" w:rsidRDefault="00000000">
            <w:r>
              <w:rPr>
                <w:color w:val="222222"/>
                <w:sz w:val="19"/>
                <w:szCs w:val="19"/>
              </w:rPr>
              <w:t>Cobrança de contraste sem autorização prévia, divergência entre modalidade solicitada e realizada</w:t>
            </w:r>
          </w:p>
        </w:tc>
      </w:tr>
      <w:tr w:rsidR="00691BD6" w14:paraId="696E24A9" w14:textId="77777777">
        <w:tblPrEx>
          <w:tblCellMar>
            <w:top w:w="0" w:type="dxa"/>
            <w:bottom w:w="0" w:type="dxa"/>
          </w:tblCellMar>
        </w:tblPrEx>
        <w:tc>
          <w:tcPr>
            <w:tcW w:w="2300" w:type="dxa"/>
            <w:tcMar>
              <w:top w:w="100" w:type="dxa"/>
              <w:left w:w="120" w:type="dxa"/>
              <w:bottom w:w="100" w:type="dxa"/>
              <w:right w:w="120" w:type="dxa"/>
            </w:tcMar>
            <w:vAlign w:val="center"/>
          </w:tcPr>
          <w:p w14:paraId="43057C45" w14:textId="77777777" w:rsidR="00691BD6" w:rsidRDefault="00000000">
            <w:r>
              <w:rPr>
                <w:color w:val="222222"/>
                <w:sz w:val="19"/>
                <w:szCs w:val="19"/>
              </w:rPr>
              <w:t>Clínica especializada</w:t>
            </w:r>
          </w:p>
        </w:tc>
        <w:tc>
          <w:tcPr>
            <w:tcW w:w="3700" w:type="dxa"/>
            <w:tcMar>
              <w:top w:w="100" w:type="dxa"/>
              <w:left w:w="120" w:type="dxa"/>
              <w:bottom w:w="100" w:type="dxa"/>
              <w:right w:w="120" w:type="dxa"/>
            </w:tcMar>
            <w:vAlign w:val="center"/>
          </w:tcPr>
          <w:p w14:paraId="447D497E" w14:textId="77777777" w:rsidR="00691BD6" w:rsidRDefault="00000000">
            <w:r>
              <w:rPr>
                <w:color w:val="222222"/>
                <w:sz w:val="19"/>
                <w:szCs w:val="19"/>
              </w:rPr>
              <w:t>Consulta + procedimentos ambulatoriais vinculados, elegibilidade por produto/plano</w:t>
            </w:r>
          </w:p>
        </w:tc>
        <w:tc>
          <w:tcPr>
            <w:tcW w:w="4300" w:type="dxa"/>
            <w:tcMar>
              <w:top w:w="100" w:type="dxa"/>
              <w:left w:w="120" w:type="dxa"/>
              <w:bottom w:w="100" w:type="dxa"/>
              <w:right w:w="120" w:type="dxa"/>
            </w:tcMar>
            <w:vAlign w:val="center"/>
          </w:tcPr>
          <w:p w14:paraId="15794C3B" w14:textId="77777777" w:rsidR="00691BD6" w:rsidRDefault="00000000">
            <w:r>
              <w:rPr>
                <w:color w:val="222222"/>
                <w:sz w:val="19"/>
                <w:szCs w:val="19"/>
              </w:rPr>
              <w:t>Procedimento fora do rol contratado para aquele produto, código de consulta especializada cobrado como genérica</w:t>
            </w:r>
          </w:p>
        </w:tc>
      </w:tr>
      <w:tr w:rsidR="00691BD6" w14:paraId="67B094D9" w14:textId="77777777">
        <w:tblPrEx>
          <w:tblCellMar>
            <w:top w:w="0" w:type="dxa"/>
            <w:bottom w:w="0" w:type="dxa"/>
          </w:tblCellMar>
        </w:tblPrEx>
        <w:tc>
          <w:tcPr>
            <w:tcW w:w="2300" w:type="dxa"/>
            <w:shd w:val="clear" w:color="auto" w:fill="F2F2F2"/>
            <w:tcMar>
              <w:top w:w="100" w:type="dxa"/>
              <w:left w:w="120" w:type="dxa"/>
              <w:bottom w:w="100" w:type="dxa"/>
              <w:right w:w="120" w:type="dxa"/>
            </w:tcMar>
            <w:vAlign w:val="center"/>
          </w:tcPr>
          <w:p w14:paraId="41814E32" w14:textId="77777777" w:rsidR="00691BD6" w:rsidRDefault="00000000">
            <w:r>
              <w:rPr>
                <w:color w:val="222222"/>
                <w:sz w:val="19"/>
                <w:szCs w:val="19"/>
              </w:rPr>
              <w:t>Clínica geral / popular</w:t>
            </w:r>
          </w:p>
        </w:tc>
        <w:tc>
          <w:tcPr>
            <w:tcW w:w="3700" w:type="dxa"/>
            <w:shd w:val="clear" w:color="auto" w:fill="F2F2F2"/>
            <w:tcMar>
              <w:top w:w="100" w:type="dxa"/>
              <w:left w:w="120" w:type="dxa"/>
              <w:bottom w:w="100" w:type="dxa"/>
              <w:right w:w="120" w:type="dxa"/>
            </w:tcMar>
            <w:vAlign w:val="center"/>
          </w:tcPr>
          <w:p w14:paraId="18A1B619" w14:textId="77777777" w:rsidR="00691BD6" w:rsidRDefault="00000000">
            <w:r>
              <w:rPr>
                <w:color w:val="222222"/>
                <w:sz w:val="19"/>
                <w:szCs w:val="19"/>
              </w:rPr>
              <w:t>Consulta avulsa, coparticipação, pacotes promocionais</w:t>
            </w:r>
          </w:p>
        </w:tc>
        <w:tc>
          <w:tcPr>
            <w:tcW w:w="4300" w:type="dxa"/>
            <w:shd w:val="clear" w:color="auto" w:fill="F2F2F2"/>
            <w:tcMar>
              <w:top w:w="100" w:type="dxa"/>
              <w:left w:w="120" w:type="dxa"/>
              <w:bottom w:w="100" w:type="dxa"/>
              <w:right w:w="120" w:type="dxa"/>
            </w:tcMar>
            <w:vAlign w:val="center"/>
          </w:tcPr>
          <w:p w14:paraId="0ED3A012" w14:textId="77777777" w:rsidR="00691BD6" w:rsidRDefault="00000000">
            <w:r>
              <w:rPr>
                <w:color w:val="222222"/>
                <w:sz w:val="19"/>
                <w:szCs w:val="19"/>
              </w:rPr>
              <w:t>Divergência entre valor de coparticipação contratual e cobrado, pacotes vencidos ainda ativos no sistema</w:t>
            </w:r>
          </w:p>
        </w:tc>
      </w:tr>
      <w:tr w:rsidR="00691BD6" w14:paraId="1046C6F9" w14:textId="77777777">
        <w:tblPrEx>
          <w:tblCellMar>
            <w:top w:w="0" w:type="dxa"/>
            <w:bottom w:w="0" w:type="dxa"/>
          </w:tblCellMar>
        </w:tblPrEx>
        <w:tc>
          <w:tcPr>
            <w:tcW w:w="2300" w:type="dxa"/>
            <w:tcMar>
              <w:top w:w="100" w:type="dxa"/>
              <w:left w:w="120" w:type="dxa"/>
              <w:bottom w:w="100" w:type="dxa"/>
              <w:right w:w="120" w:type="dxa"/>
            </w:tcMar>
            <w:vAlign w:val="center"/>
          </w:tcPr>
          <w:p w14:paraId="7C4B3F84" w14:textId="77777777" w:rsidR="00691BD6" w:rsidRDefault="00000000">
            <w:r>
              <w:rPr>
                <w:color w:val="222222"/>
                <w:sz w:val="19"/>
                <w:szCs w:val="19"/>
              </w:rPr>
              <w:t xml:space="preserve">Home </w:t>
            </w:r>
            <w:proofErr w:type="spellStart"/>
            <w:r>
              <w:rPr>
                <w:color w:val="222222"/>
                <w:sz w:val="19"/>
                <w:szCs w:val="19"/>
              </w:rPr>
              <w:t>care</w:t>
            </w:r>
            <w:proofErr w:type="spellEnd"/>
          </w:p>
        </w:tc>
        <w:tc>
          <w:tcPr>
            <w:tcW w:w="3700" w:type="dxa"/>
            <w:tcMar>
              <w:top w:w="100" w:type="dxa"/>
              <w:left w:w="120" w:type="dxa"/>
              <w:bottom w:w="100" w:type="dxa"/>
              <w:right w:w="120" w:type="dxa"/>
            </w:tcMar>
            <w:vAlign w:val="center"/>
          </w:tcPr>
          <w:p w14:paraId="6DD0A05D" w14:textId="77777777" w:rsidR="00691BD6" w:rsidRDefault="00000000">
            <w:r>
              <w:rPr>
                <w:color w:val="222222"/>
                <w:sz w:val="19"/>
                <w:szCs w:val="19"/>
              </w:rPr>
              <w:t xml:space="preserve">Diária de home </w:t>
            </w:r>
            <w:proofErr w:type="spellStart"/>
            <w:r>
              <w:rPr>
                <w:color w:val="222222"/>
                <w:sz w:val="19"/>
                <w:szCs w:val="19"/>
              </w:rPr>
              <w:t>care</w:t>
            </w:r>
            <w:proofErr w:type="spellEnd"/>
            <w:r>
              <w:rPr>
                <w:color w:val="222222"/>
                <w:sz w:val="19"/>
                <w:szCs w:val="19"/>
              </w:rPr>
              <w:t>, escala de profissionais, materiais/insumos, prazo de autorização prévia</w:t>
            </w:r>
          </w:p>
        </w:tc>
        <w:tc>
          <w:tcPr>
            <w:tcW w:w="4300" w:type="dxa"/>
            <w:tcMar>
              <w:top w:w="100" w:type="dxa"/>
              <w:left w:w="120" w:type="dxa"/>
              <w:bottom w:w="100" w:type="dxa"/>
              <w:right w:w="120" w:type="dxa"/>
            </w:tcMar>
            <w:vAlign w:val="center"/>
          </w:tcPr>
          <w:p w14:paraId="77A501E6" w14:textId="77777777" w:rsidR="00691BD6" w:rsidRDefault="00000000">
            <w:r>
              <w:rPr>
                <w:color w:val="222222"/>
                <w:sz w:val="19"/>
                <w:szCs w:val="19"/>
              </w:rPr>
              <w:t>Cobrança de diária sem autorização vigente, insumo fora da lista negociada, divergência de escala x registro de visita</w:t>
            </w:r>
          </w:p>
        </w:tc>
      </w:tr>
    </w:tbl>
    <w:p w14:paraId="064C0006" w14:textId="77777777" w:rsidR="00691BD6" w:rsidRDefault="00000000">
      <w:pPr>
        <w:spacing w:after="160" w:line="300" w:lineRule="auto"/>
        <w:jc w:val="both"/>
      </w:pPr>
      <w:r>
        <w:rPr>
          <w:color w:val="222222"/>
          <w:sz w:val="21"/>
          <w:szCs w:val="21"/>
        </w:rPr>
        <w:t>Na prática, cada segmento acrescenta um “dicionário de códigos e regras” ao mesmo motor — não exige um produto separado. O trabalho de extrapolação é, sobretudo, mapear o rol de procedimentos e as cláusulas de SLA/glosa específicas de cada tipo de contrato, o que pode ser feito de forma incremental: começar pelo segmento oncológico (já mapeado neste documento) e adicionar segmentos à medida que novos contratos forem processados.</w:t>
      </w:r>
    </w:p>
    <w:p w14:paraId="2CA9972F" w14:textId="77777777" w:rsidR="00691BD6" w:rsidRDefault="00000000">
      <w:r>
        <w:br w:type="page"/>
      </w:r>
    </w:p>
    <w:p w14:paraId="0119B7FA" w14:textId="77777777" w:rsidR="00691BD6" w:rsidRDefault="00000000">
      <w:pPr>
        <w:pStyle w:val="Ttulo1"/>
        <w:pBdr>
          <w:bottom w:val="single" w:sz="6" w:space="4" w:color="1F3552"/>
        </w:pBdr>
        <w:spacing w:before="480" w:after="200"/>
      </w:pPr>
      <w:r>
        <w:rPr>
          <w:b/>
          <w:bCs/>
          <w:color w:val="1F3552"/>
          <w:sz w:val="30"/>
          <w:szCs w:val="30"/>
        </w:rPr>
        <w:lastRenderedPageBreak/>
        <w:t>8. Modelo de valor</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400"/>
      </w:tblGrid>
      <w:tr w:rsidR="00691BD6" w14:paraId="41E1A124" w14:textId="77777777">
        <w:tblPrEx>
          <w:tblCellMar>
            <w:top w:w="0" w:type="dxa"/>
            <w:bottom w:w="0" w:type="dxa"/>
          </w:tblCellMar>
        </w:tblPrEx>
        <w:trPr>
          <w:tblHeader/>
        </w:trPr>
        <w:tc>
          <w:tcPr>
            <w:tcW w:w="3200" w:type="dxa"/>
            <w:shd w:val="clear" w:color="auto" w:fill="1F3552"/>
            <w:tcMar>
              <w:top w:w="100" w:type="dxa"/>
              <w:left w:w="120" w:type="dxa"/>
              <w:bottom w:w="100" w:type="dxa"/>
              <w:right w:w="120" w:type="dxa"/>
            </w:tcMar>
            <w:vAlign w:val="center"/>
          </w:tcPr>
          <w:p w14:paraId="52B39363" w14:textId="77777777" w:rsidR="00691BD6" w:rsidRDefault="00000000">
            <w:r>
              <w:rPr>
                <w:b/>
                <w:bCs/>
                <w:color w:val="FFFFFF"/>
                <w:sz w:val="19"/>
                <w:szCs w:val="19"/>
              </w:rPr>
              <w:t>Frente</w:t>
            </w:r>
          </w:p>
        </w:tc>
        <w:tc>
          <w:tcPr>
            <w:tcW w:w="7400" w:type="dxa"/>
            <w:shd w:val="clear" w:color="auto" w:fill="1F3552"/>
            <w:tcMar>
              <w:top w:w="100" w:type="dxa"/>
              <w:left w:w="120" w:type="dxa"/>
              <w:bottom w:w="100" w:type="dxa"/>
              <w:right w:w="120" w:type="dxa"/>
            </w:tcMar>
            <w:vAlign w:val="center"/>
          </w:tcPr>
          <w:p w14:paraId="4E2A2531" w14:textId="77777777" w:rsidR="00691BD6" w:rsidRDefault="00000000">
            <w:r>
              <w:rPr>
                <w:b/>
                <w:bCs/>
                <w:color w:val="FFFFFF"/>
                <w:sz w:val="19"/>
                <w:szCs w:val="19"/>
              </w:rPr>
              <w:t>Ganho esperado</w:t>
            </w:r>
          </w:p>
        </w:tc>
      </w:tr>
      <w:tr w:rsidR="00691BD6" w14:paraId="61DB44BF" w14:textId="77777777">
        <w:tblPrEx>
          <w:tblCellMar>
            <w:top w:w="0" w:type="dxa"/>
            <w:bottom w:w="0" w:type="dxa"/>
          </w:tblCellMar>
        </w:tblPrEx>
        <w:tc>
          <w:tcPr>
            <w:tcW w:w="3200" w:type="dxa"/>
            <w:tcMar>
              <w:top w:w="100" w:type="dxa"/>
              <w:left w:w="120" w:type="dxa"/>
              <w:bottom w:w="100" w:type="dxa"/>
              <w:right w:w="120" w:type="dxa"/>
            </w:tcMar>
            <w:vAlign w:val="center"/>
          </w:tcPr>
          <w:p w14:paraId="07EFC1D7" w14:textId="77777777" w:rsidR="00691BD6" w:rsidRDefault="00000000">
            <w:r>
              <w:rPr>
                <w:color w:val="222222"/>
                <w:sz w:val="19"/>
                <w:szCs w:val="19"/>
              </w:rPr>
              <w:t>Redução de glosa (prestador)</w:t>
            </w:r>
          </w:p>
        </w:tc>
        <w:tc>
          <w:tcPr>
            <w:tcW w:w="7400" w:type="dxa"/>
            <w:tcMar>
              <w:top w:w="100" w:type="dxa"/>
              <w:left w:w="120" w:type="dxa"/>
              <w:bottom w:w="100" w:type="dxa"/>
              <w:right w:w="120" w:type="dxa"/>
            </w:tcMar>
            <w:vAlign w:val="center"/>
          </w:tcPr>
          <w:p w14:paraId="13EC0DD4" w14:textId="77777777" w:rsidR="00691BD6" w:rsidRDefault="00000000">
            <w:r>
              <w:rPr>
                <w:color w:val="222222"/>
                <w:sz w:val="19"/>
                <w:szCs w:val="19"/>
              </w:rPr>
              <w:t>Menos guias rejeitadas por código/valor desatualizado, com evidência documental pronta para contestação quando a glosa ocorrer</w:t>
            </w:r>
          </w:p>
        </w:tc>
      </w:tr>
      <w:tr w:rsidR="00691BD6" w14:paraId="0096272D"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33E93F36" w14:textId="77777777" w:rsidR="00691BD6" w:rsidRDefault="00000000">
            <w:r>
              <w:rPr>
                <w:color w:val="222222"/>
                <w:sz w:val="19"/>
                <w:szCs w:val="19"/>
              </w:rPr>
              <w:t>Previsibilidade de caixa (prestador)</w:t>
            </w:r>
          </w:p>
        </w:tc>
        <w:tc>
          <w:tcPr>
            <w:tcW w:w="7400" w:type="dxa"/>
            <w:shd w:val="clear" w:color="auto" w:fill="F2F2F2"/>
            <w:tcMar>
              <w:top w:w="100" w:type="dxa"/>
              <w:left w:w="120" w:type="dxa"/>
              <w:bottom w:w="100" w:type="dxa"/>
              <w:right w:w="120" w:type="dxa"/>
            </w:tcMar>
            <w:vAlign w:val="center"/>
          </w:tcPr>
          <w:p w14:paraId="162ABCB5" w14:textId="77777777" w:rsidR="00691BD6" w:rsidRDefault="00000000">
            <w:r>
              <w:rPr>
                <w:color w:val="222222"/>
                <w:sz w:val="19"/>
                <w:szCs w:val="19"/>
              </w:rPr>
              <w:t>Faturamento estimado com confiança antes do envio, reduzindo surpresas no ciclo de recebimento</w:t>
            </w:r>
          </w:p>
        </w:tc>
      </w:tr>
      <w:tr w:rsidR="00691BD6" w14:paraId="00BC30C0" w14:textId="77777777">
        <w:tblPrEx>
          <w:tblCellMar>
            <w:top w:w="0" w:type="dxa"/>
            <w:bottom w:w="0" w:type="dxa"/>
          </w:tblCellMar>
        </w:tblPrEx>
        <w:tc>
          <w:tcPr>
            <w:tcW w:w="3200" w:type="dxa"/>
            <w:tcMar>
              <w:top w:w="100" w:type="dxa"/>
              <w:left w:w="120" w:type="dxa"/>
              <w:bottom w:w="100" w:type="dxa"/>
              <w:right w:w="120" w:type="dxa"/>
            </w:tcMar>
            <w:vAlign w:val="center"/>
          </w:tcPr>
          <w:p w14:paraId="1B699E66" w14:textId="77777777" w:rsidR="00691BD6" w:rsidRDefault="00000000">
            <w:r>
              <w:rPr>
                <w:color w:val="222222"/>
                <w:sz w:val="19"/>
                <w:szCs w:val="19"/>
              </w:rPr>
              <w:t>Redução de desperdício (operadora)</w:t>
            </w:r>
          </w:p>
        </w:tc>
        <w:tc>
          <w:tcPr>
            <w:tcW w:w="7400" w:type="dxa"/>
            <w:tcMar>
              <w:top w:w="100" w:type="dxa"/>
              <w:left w:w="120" w:type="dxa"/>
              <w:bottom w:w="100" w:type="dxa"/>
              <w:right w:w="120" w:type="dxa"/>
            </w:tcMar>
            <w:vAlign w:val="center"/>
          </w:tcPr>
          <w:p w14:paraId="3DEE799C" w14:textId="77777777" w:rsidR="00691BD6" w:rsidRDefault="00000000">
            <w:r>
              <w:rPr>
                <w:color w:val="222222"/>
                <w:sz w:val="19"/>
                <w:szCs w:val="19"/>
              </w:rPr>
              <w:t>Detecção de pagamento indevido, duplicidade e código fora de vigência antes ou logo após o pagamento</w:t>
            </w:r>
          </w:p>
        </w:tc>
      </w:tr>
      <w:tr w:rsidR="00691BD6" w14:paraId="597FECEA"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EA6F42A" w14:textId="77777777" w:rsidR="00691BD6" w:rsidRDefault="00000000">
            <w:r>
              <w:rPr>
                <w:color w:val="222222"/>
                <w:sz w:val="19"/>
                <w:szCs w:val="19"/>
              </w:rPr>
              <w:t>Conformidade regulatória</w:t>
            </w:r>
          </w:p>
        </w:tc>
        <w:tc>
          <w:tcPr>
            <w:tcW w:w="7400" w:type="dxa"/>
            <w:shd w:val="clear" w:color="auto" w:fill="F2F2F2"/>
            <w:tcMar>
              <w:top w:w="100" w:type="dxa"/>
              <w:left w:w="120" w:type="dxa"/>
              <w:bottom w:w="100" w:type="dxa"/>
              <w:right w:w="120" w:type="dxa"/>
            </w:tcMar>
            <w:vAlign w:val="center"/>
          </w:tcPr>
          <w:p w14:paraId="75F1D4DC" w14:textId="77777777" w:rsidR="00691BD6" w:rsidRDefault="00000000">
            <w:r>
              <w:rPr>
                <w:color w:val="222222"/>
                <w:sz w:val="19"/>
                <w:szCs w:val="19"/>
              </w:rPr>
              <w:t>Menos risco de descredenciamento por documentação vencida (RN510/22) ou ausência de protocolos exigidos (RDC 36/2013)</w:t>
            </w:r>
          </w:p>
        </w:tc>
      </w:tr>
      <w:tr w:rsidR="00691BD6" w14:paraId="43828F10" w14:textId="77777777">
        <w:tblPrEx>
          <w:tblCellMar>
            <w:top w:w="0" w:type="dxa"/>
            <w:bottom w:w="0" w:type="dxa"/>
          </w:tblCellMar>
        </w:tblPrEx>
        <w:tc>
          <w:tcPr>
            <w:tcW w:w="3200" w:type="dxa"/>
            <w:tcMar>
              <w:top w:w="100" w:type="dxa"/>
              <w:left w:w="120" w:type="dxa"/>
              <w:bottom w:w="100" w:type="dxa"/>
              <w:right w:w="120" w:type="dxa"/>
            </w:tcMar>
            <w:vAlign w:val="center"/>
          </w:tcPr>
          <w:p w14:paraId="1BB0A38D" w14:textId="77777777" w:rsidR="00691BD6" w:rsidRDefault="00000000">
            <w:r>
              <w:rPr>
                <w:color w:val="222222"/>
                <w:sz w:val="19"/>
                <w:szCs w:val="19"/>
              </w:rPr>
              <w:t>Redução de risco jurídico/LGPD</w:t>
            </w:r>
          </w:p>
        </w:tc>
        <w:tc>
          <w:tcPr>
            <w:tcW w:w="7400" w:type="dxa"/>
            <w:tcMar>
              <w:top w:w="100" w:type="dxa"/>
              <w:left w:w="120" w:type="dxa"/>
              <w:bottom w:w="100" w:type="dxa"/>
              <w:right w:w="120" w:type="dxa"/>
            </w:tcMar>
            <w:vAlign w:val="center"/>
          </w:tcPr>
          <w:p w14:paraId="627F2A31" w14:textId="77777777" w:rsidR="00691BD6" w:rsidRDefault="00000000">
            <w:proofErr w:type="spellStart"/>
            <w:r>
              <w:rPr>
                <w:color w:val="222222"/>
                <w:sz w:val="19"/>
                <w:szCs w:val="19"/>
              </w:rPr>
              <w:t>SLAs</w:t>
            </w:r>
            <w:proofErr w:type="spellEnd"/>
            <w:r>
              <w:rPr>
                <w:color w:val="222222"/>
                <w:sz w:val="19"/>
                <w:szCs w:val="19"/>
              </w:rPr>
              <w:t xml:space="preserve"> de notificação de incidente e de resposta a titulares monitorados ativamente, não dependentes de memória de equipe</w:t>
            </w:r>
          </w:p>
        </w:tc>
      </w:tr>
      <w:tr w:rsidR="00691BD6" w14:paraId="49584805"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02B73CEC" w14:textId="77777777" w:rsidR="00691BD6" w:rsidRDefault="00000000">
            <w:r>
              <w:rPr>
                <w:color w:val="222222"/>
                <w:sz w:val="19"/>
                <w:szCs w:val="19"/>
              </w:rPr>
              <w:t>Eficiência operacional</w:t>
            </w:r>
          </w:p>
        </w:tc>
        <w:tc>
          <w:tcPr>
            <w:tcW w:w="7400" w:type="dxa"/>
            <w:shd w:val="clear" w:color="auto" w:fill="F2F2F2"/>
            <w:tcMar>
              <w:top w:w="100" w:type="dxa"/>
              <w:left w:w="120" w:type="dxa"/>
              <w:bottom w:w="100" w:type="dxa"/>
              <w:right w:w="120" w:type="dxa"/>
            </w:tcMar>
            <w:vAlign w:val="center"/>
          </w:tcPr>
          <w:p w14:paraId="4AA8D09F" w14:textId="77777777" w:rsidR="00691BD6" w:rsidRDefault="00000000">
            <w:r>
              <w:rPr>
                <w:color w:val="222222"/>
                <w:sz w:val="19"/>
                <w:szCs w:val="19"/>
              </w:rPr>
              <w:t>Eliminação do trabalho manual de cruzar contrato + aditivos + cartas a cada dúvida de faturamento</w:t>
            </w:r>
          </w:p>
        </w:tc>
      </w:tr>
    </w:tbl>
    <w:p w14:paraId="5ACFB3A4" w14:textId="77777777" w:rsidR="00691BD6" w:rsidRDefault="00000000">
      <w:r>
        <w:br w:type="page"/>
      </w:r>
    </w:p>
    <w:p w14:paraId="6D2B93E2" w14:textId="77777777" w:rsidR="00691BD6" w:rsidRDefault="00000000">
      <w:pPr>
        <w:pStyle w:val="Ttulo1"/>
        <w:pBdr>
          <w:bottom w:val="single" w:sz="6" w:space="4" w:color="1F3552"/>
        </w:pBdr>
        <w:spacing w:before="480" w:after="200"/>
      </w:pPr>
      <w:r>
        <w:rPr>
          <w:b/>
          <w:bCs/>
          <w:color w:val="1F3552"/>
          <w:sz w:val="30"/>
          <w:szCs w:val="30"/>
        </w:rPr>
        <w:lastRenderedPageBreak/>
        <w:t xml:space="preserve">9. </w:t>
      </w:r>
      <w:proofErr w:type="spellStart"/>
      <w:r>
        <w:rPr>
          <w:b/>
          <w:bCs/>
          <w:color w:val="1F3552"/>
          <w:sz w:val="30"/>
          <w:szCs w:val="30"/>
        </w:rPr>
        <w:t>Roadmap</w:t>
      </w:r>
      <w:proofErr w:type="spellEnd"/>
      <w:r>
        <w:rPr>
          <w:b/>
          <w:bCs/>
          <w:color w:val="1F3552"/>
          <w:sz w:val="30"/>
          <w:szCs w:val="30"/>
        </w:rPr>
        <w:t xml:space="preserve"> sugerido</w:t>
      </w:r>
    </w:p>
    <w:p w14:paraId="3BD5483A" w14:textId="77777777" w:rsidR="00691BD6" w:rsidRDefault="00000000">
      <w:pPr>
        <w:pStyle w:val="Ttulo2"/>
        <w:spacing w:before="360" w:after="160"/>
      </w:pPr>
      <w:r>
        <w:rPr>
          <w:b/>
          <w:bCs/>
          <w:color w:val="0F6E6A"/>
          <w:sz w:val="24"/>
          <w:szCs w:val="24"/>
        </w:rPr>
        <w:t>MVP — Dossiê vivo + radar de compliance</w:t>
      </w:r>
    </w:p>
    <w:p w14:paraId="0040ADF8" w14:textId="77777777" w:rsidR="00691BD6" w:rsidRDefault="00000000">
      <w:pPr>
        <w:spacing w:after="160" w:line="300" w:lineRule="auto"/>
        <w:jc w:val="both"/>
      </w:pPr>
      <w:r>
        <w:rPr>
          <w:color w:val="222222"/>
          <w:sz w:val="21"/>
          <w:szCs w:val="21"/>
        </w:rPr>
        <w:t>Ingestão e extração de contratos/aditivos (validado no próprio caso Unimed–</w:t>
      </w:r>
      <w:proofErr w:type="spellStart"/>
      <w:r>
        <w:rPr>
          <w:color w:val="222222"/>
          <w:sz w:val="21"/>
          <w:szCs w:val="21"/>
        </w:rPr>
        <w:t>Oncoradium</w:t>
      </w:r>
      <w:proofErr w:type="spellEnd"/>
      <w:r>
        <w:rPr>
          <w:color w:val="222222"/>
          <w:sz w:val="21"/>
          <w:szCs w:val="21"/>
        </w:rPr>
        <w:t>), reconstrução automática da linha do tempo, checklist de documentação cadastral com validação e alerta de vencimento. Entrega visível em semanas, com um único contrato real como prova de conceito.</w:t>
      </w:r>
    </w:p>
    <w:p w14:paraId="4C5EAEDA" w14:textId="77777777" w:rsidR="00691BD6" w:rsidRDefault="00000000">
      <w:pPr>
        <w:pStyle w:val="Ttulo2"/>
        <w:spacing w:before="360" w:after="160"/>
      </w:pPr>
      <w:r>
        <w:rPr>
          <w:b/>
          <w:bCs/>
          <w:color w:val="0F6E6A"/>
          <w:sz w:val="24"/>
          <w:szCs w:val="24"/>
        </w:rPr>
        <w:t>V1 — Simulador de faturamento e segunda opinião</w:t>
      </w:r>
    </w:p>
    <w:p w14:paraId="6766BE08" w14:textId="77777777" w:rsidR="00691BD6" w:rsidRDefault="00000000">
      <w:pPr>
        <w:spacing w:after="160" w:line="300" w:lineRule="auto"/>
        <w:jc w:val="both"/>
      </w:pPr>
      <w:r>
        <w:rPr>
          <w:color w:val="222222"/>
          <w:sz w:val="21"/>
          <w:szCs w:val="21"/>
        </w:rPr>
        <w:t>Motor de predição de valor por guia, checagem automática antes do envio, histórico de glosa por código/operadora. Integração com o sistema de faturamento do prestador (ou planilha, no começo).</w:t>
      </w:r>
    </w:p>
    <w:p w14:paraId="6B952327" w14:textId="77777777" w:rsidR="00691BD6" w:rsidRDefault="00000000">
      <w:pPr>
        <w:pStyle w:val="Ttulo2"/>
        <w:spacing w:before="360" w:after="160"/>
      </w:pPr>
      <w:r>
        <w:rPr>
          <w:b/>
          <w:bCs/>
          <w:color w:val="0F6E6A"/>
          <w:sz w:val="24"/>
          <w:szCs w:val="24"/>
        </w:rPr>
        <w:t xml:space="preserve">V2 — </w:t>
      </w:r>
      <w:proofErr w:type="spellStart"/>
      <w:r>
        <w:rPr>
          <w:b/>
          <w:bCs/>
          <w:color w:val="0F6E6A"/>
          <w:sz w:val="24"/>
          <w:szCs w:val="24"/>
        </w:rPr>
        <w:t>Multiprestador</w:t>
      </w:r>
      <w:proofErr w:type="spellEnd"/>
      <w:r>
        <w:rPr>
          <w:b/>
          <w:bCs/>
          <w:color w:val="0F6E6A"/>
          <w:sz w:val="24"/>
          <w:szCs w:val="24"/>
        </w:rPr>
        <w:t xml:space="preserve"> e benchmarking de rede</w:t>
      </w:r>
    </w:p>
    <w:p w14:paraId="53727EBC" w14:textId="77777777" w:rsidR="00691BD6" w:rsidRDefault="00000000">
      <w:pPr>
        <w:spacing w:after="160" w:line="300" w:lineRule="auto"/>
        <w:jc w:val="both"/>
      </w:pPr>
      <w:r>
        <w:rPr>
          <w:color w:val="222222"/>
          <w:sz w:val="21"/>
          <w:szCs w:val="21"/>
        </w:rPr>
        <w:t>Extensão do dicionário de variáveis para os demais tipos de prestador (seção 7), com comparação de padrões de glosa e reajuste entre contratos de uma mesma rede — útil tanto para uma operadora com múltiplos prestadores quanto para um grupo de prestadores com múltiplas operadoras.</w:t>
      </w:r>
    </w:p>
    <w:p w14:paraId="6A74DDF7" w14:textId="77777777" w:rsidR="00691BD6" w:rsidRDefault="00000000">
      <w:pPr>
        <w:pStyle w:val="Ttulo1"/>
        <w:pBdr>
          <w:bottom w:val="single" w:sz="6" w:space="4" w:color="1F3552"/>
        </w:pBdr>
        <w:spacing w:before="480" w:after="200"/>
      </w:pPr>
      <w:r>
        <w:rPr>
          <w:b/>
          <w:bCs/>
          <w:color w:val="1F3552"/>
          <w:sz w:val="30"/>
          <w:szCs w:val="30"/>
        </w:rPr>
        <w:t>10. Riscos e mitigação</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7200"/>
      </w:tblGrid>
      <w:tr w:rsidR="00691BD6" w14:paraId="1FBC208B" w14:textId="77777777">
        <w:tblPrEx>
          <w:tblCellMar>
            <w:top w:w="0" w:type="dxa"/>
            <w:bottom w:w="0" w:type="dxa"/>
          </w:tblCellMar>
        </w:tblPrEx>
        <w:trPr>
          <w:tblHeader/>
        </w:trPr>
        <w:tc>
          <w:tcPr>
            <w:tcW w:w="3400" w:type="dxa"/>
            <w:shd w:val="clear" w:color="auto" w:fill="1F3552"/>
            <w:tcMar>
              <w:top w:w="100" w:type="dxa"/>
              <w:left w:w="120" w:type="dxa"/>
              <w:bottom w:w="100" w:type="dxa"/>
              <w:right w:w="120" w:type="dxa"/>
            </w:tcMar>
            <w:vAlign w:val="center"/>
          </w:tcPr>
          <w:p w14:paraId="20744D9C" w14:textId="77777777" w:rsidR="00691BD6" w:rsidRDefault="00000000">
            <w:r>
              <w:rPr>
                <w:b/>
                <w:bCs/>
                <w:color w:val="FFFFFF"/>
                <w:sz w:val="19"/>
                <w:szCs w:val="19"/>
              </w:rPr>
              <w:t>Risco</w:t>
            </w:r>
          </w:p>
        </w:tc>
        <w:tc>
          <w:tcPr>
            <w:tcW w:w="7200" w:type="dxa"/>
            <w:shd w:val="clear" w:color="auto" w:fill="1F3552"/>
            <w:tcMar>
              <w:top w:w="100" w:type="dxa"/>
              <w:left w:w="120" w:type="dxa"/>
              <w:bottom w:w="100" w:type="dxa"/>
              <w:right w:w="120" w:type="dxa"/>
            </w:tcMar>
            <w:vAlign w:val="center"/>
          </w:tcPr>
          <w:p w14:paraId="28D21D55" w14:textId="77777777" w:rsidR="00691BD6" w:rsidRDefault="00000000">
            <w:r>
              <w:rPr>
                <w:b/>
                <w:bCs/>
                <w:color w:val="FFFFFF"/>
                <w:sz w:val="19"/>
                <w:szCs w:val="19"/>
              </w:rPr>
              <w:t>Mitigação</w:t>
            </w:r>
          </w:p>
        </w:tc>
      </w:tr>
      <w:tr w:rsidR="00691BD6" w14:paraId="56910C6C" w14:textId="77777777">
        <w:tblPrEx>
          <w:tblCellMar>
            <w:top w:w="0" w:type="dxa"/>
            <w:bottom w:w="0" w:type="dxa"/>
          </w:tblCellMar>
        </w:tblPrEx>
        <w:tc>
          <w:tcPr>
            <w:tcW w:w="3400" w:type="dxa"/>
            <w:tcMar>
              <w:top w:w="100" w:type="dxa"/>
              <w:left w:w="120" w:type="dxa"/>
              <w:bottom w:w="100" w:type="dxa"/>
              <w:right w:w="120" w:type="dxa"/>
            </w:tcMar>
            <w:vAlign w:val="center"/>
          </w:tcPr>
          <w:p w14:paraId="0F394619" w14:textId="77777777" w:rsidR="00691BD6" w:rsidRDefault="00000000">
            <w:r>
              <w:rPr>
                <w:color w:val="222222"/>
                <w:sz w:val="19"/>
                <w:szCs w:val="19"/>
              </w:rPr>
              <w:t>Qualidade variável de OCR em documentos antigos escaneados (como no pacote enviado)</w:t>
            </w:r>
          </w:p>
        </w:tc>
        <w:tc>
          <w:tcPr>
            <w:tcW w:w="7200" w:type="dxa"/>
            <w:tcMar>
              <w:top w:w="100" w:type="dxa"/>
              <w:left w:w="120" w:type="dxa"/>
              <w:bottom w:w="100" w:type="dxa"/>
              <w:right w:w="120" w:type="dxa"/>
            </w:tcMar>
            <w:vAlign w:val="center"/>
          </w:tcPr>
          <w:p w14:paraId="2342D924" w14:textId="77777777" w:rsidR="00691BD6" w:rsidRDefault="00000000">
            <w:r>
              <w:rPr>
                <w:color w:val="222222"/>
                <w:sz w:val="19"/>
                <w:szCs w:val="19"/>
              </w:rPr>
              <w:t>Fila de revisão humana para campos de baixa confiança; nunca aplicar extração duvidosa direto ao dossiê</w:t>
            </w:r>
          </w:p>
        </w:tc>
      </w:tr>
      <w:tr w:rsidR="00691BD6" w14:paraId="0373E2EB" w14:textId="77777777">
        <w:tblPrEx>
          <w:tblCellMar>
            <w:top w:w="0" w:type="dxa"/>
            <w:bottom w:w="0" w:type="dxa"/>
          </w:tblCellMar>
        </w:tblPrEx>
        <w:tc>
          <w:tcPr>
            <w:tcW w:w="3400" w:type="dxa"/>
            <w:shd w:val="clear" w:color="auto" w:fill="F2F2F2"/>
            <w:tcMar>
              <w:top w:w="100" w:type="dxa"/>
              <w:left w:w="120" w:type="dxa"/>
              <w:bottom w:w="100" w:type="dxa"/>
              <w:right w:w="120" w:type="dxa"/>
            </w:tcMar>
            <w:vAlign w:val="center"/>
          </w:tcPr>
          <w:p w14:paraId="15967CFA" w14:textId="77777777" w:rsidR="00691BD6" w:rsidRDefault="00000000">
            <w:r>
              <w:rPr>
                <w:color w:val="222222"/>
                <w:sz w:val="19"/>
                <w:szCs w:val="19"/>
              </w:rPr>
              <w:t>Ambiguidade jurídica na interpretação de cláusulas</w:t>
            </w:r>
          </w:p>
        </w:tc>
        <w:tc>
          <w:tcPr>
            <w:tcW w:w="7200" w:type="dxa"/>
            <w:shd w:val="clear" w:color="auto" w:fill="F2F2F2"/>
            <w:tcMar>
              <w:top w:w="100" w:type="dxa"/>
              <w:left w:w="120" w:type="dxa"/>
              <w:bottom w:w="100" w:type="dxa"/>
              <w:right w:w="120" w:type="dxa"/>
            </w:tcMar>
            <w:vAlign w:val="center"/>
          </w:tcPr>
          <w:p w14:paraId="49455252" w14:textId="77777777" w:rsidR="00691BD6" w:rsidRDefault="00000000">
            <w:r>
              <w:rPr>
                <w:color w:val="222222"/>
                <w:sz w:val="19"/>
                <w:szCs w:val="19"/>
              </w:rPr>
              <w:t>Produto sinaliza e propõe leitura, mas decisão final de interpretação fica com jurídico humano</w:t>
            </w:r>
          </w:p>
        </w:tc>
      </w:tr>
      <w:tr w:rsidR="00691BD6" w14:paraId="0928DAC1" w14:textId="77777777">
        <w:tblPrEx>
          <w:tblCellMar>
            <w:top w:w="0" w:type="dxa"/>
            <w:bottom w:w="0" w:type="dxa"/>
          </w:tblCellMar>
        </w:tblPrEx>
        <w:tc>
          <w:tcPr>
            <w:tcW w:w="3400" w:type="dxa"/>
            <w:tcMar>
              <w:top w:w="100" w:type="dxa"/>
              <w:left w:w="120" w:type="dxa"/>
              <w:bottom w:w="100" w:type="dxa"/>
              <w:right w:w="120" w:type="dxa"/>
            </w:tcMar>
            <w:vAlign w:val="center"/>
          </w:tcPr>
          <w:p w14:paraId="0FD4FDA8" w14:textId="77777777" w:rsidR="00691BD6" w:rsidRDefault="00000000">
            <w:r>
              <w:rPr>
                <w:color w:val="222222"/>
                <w:sz w:val="19"/>
                <w:szCs w:val="19"/>
              </w:rPr>
              <w:t xml:space="preserve">Mudança regulatória (novas </w:t>
            </w:r>
            <w:proofErr w:type="spellStart"/>
            <w:r>
              <w:rPr>
                <w:color w:val="222222"/>
                <w:sz w:val="19"/>
                <w:szCs w:val="19"/>
              </w:rPr>
              <w:t>RNs</w:t>
            </w:r>
            <w:proofErr w:type="spellEnd"/>
            <w:r>
              <w:rPr>
                <w:color w:val="222222"/>
                <w:sz w:val="19"/>
                <w:szCs w:val="19"/>
              </w:rPr>
              <w:t xml:space="preserve"> da ANS)</w:t>
            </w:r>
          </w:p>
        </w:tc>
        <w:tc>
          <w:tcPr>
            <w:tcW w:w="7200" w:type="dxa"/>
            <w:tcMar>
              <w:top w:w="100" w:type="dxa"/>
              <w:left w:w="120" w:type="dxa"/>
              <w:bottom w:w="100" w:type="dxa"/>
              <w:right w:w="120" w:type="dxa"/>
            </w:tcMar>
            <w:vAlign w:val="center"/>
          </w:tcPr>
          <w:p w14:paraId="7913D6EA" w14:textId="77777777" w:rsidR="00691BD6" w:rsidRDefault="00000000">
            <w:r>
              <w:rPr>
                <w:color w:val="222222"/>
                <w:sz w:val="19"/>
                <w:szCs w:val="19"/>
              </w:rPr>
              <w:t xml:space="preserve">Radar de compliance separado do motor de contrato, atualizado por fonte oficial, não </w:t>
            </w:r>
            <w:proofErr w:type="spellStart"/>
            <w:r>
              <w:rPr>
                <w:color w:val="222222"/>
                <w:sz w:val="19"/>
                <w:szCs w:val="19"/>
              </w:rPr>
              <w:t>hardcoded</w:t>
            </w:r>
            <w:proofErr w:type="spellEnd"/>
          </w:p>
        </w:tc>
      </w:tr>
      <w:tr w:rsidR="00691BD6" w14:paraId="218C20C6" w14:textId="77777777">
        <w:tblPrEx>
          <w:tblCellMar>
            <w:top w:w="0" w:type="dxa"/>
            <w:bottom w:w="0" w:type="dxa"/>
          </w:tblCellMar>
        </w:tblPrEx>
        <w:tc>
          <w:tcPr>
            <w:tcW w:w="3400" w:type="dxa"/>
            <w:shd w:val="clear" w:color="auto" w:fill="F2F2F2"/>
            <w:tcMar>
              <w:top w:w="100" w:type="dxa"/>
              <w:left w:w="120" w:type="dxa"/>
              <w:bottom w:w="100" w:type="dxa"/>
              <w:right w:w="120" w:type="dxa"/>
            </w:tcMar>
            <w:vAlign w:val="center"/>
          </w:tcPr>
          <w:p w14:paraId="7F5CC872" w14:textId="77777777" w:rsidR="00691BD6" w:rsidRDefault="00000000">
            <w:r>
              <w:rPr>
                <w:color w:val="222222"/>
                <w:sz w:val="19"/>
                <w:szCs w:val="19"/>
              </w:rPr>
              <w:t>Resistência de adoção por equipes de faturamento habituadas a processo manual</w:t>
            </w:r>
          </w:p>
        </w:tc>
        <w:tc>
          <w:tcPr>
            <w:tcW w:w="7200" w:type="dxa"/>
            <w:shd w:val="clear" w:color="auto" w:fill="F2F2F2"/>
            <w:tcMar>
              <w:top w:w="100" w:type="dxa"/>
              <w:left w:w="120" w:type="dxa"/>
              <w:bottom w:w="100" w:type="dxa"/>
              <w:right w:w="120" w:type="dxa"/>
            </w:tcMar>
            <w:vAlign w:val="center"/>
          </w:tcPr>
          <w:p w14:paraId="2582AF4F" w14:textId="77777777" w:rsidR="00691BD6" w:rsidRDefault="00000000">
            <w:r>
              <w:rPr>
                <w:color w:val="222222"/>
                <w:sz w:val="19"/>
                <w:szCs w:val="19"/>
              </w:rPr>
              <w:t>Começar como ferramenta de apoio (segunda opinião), não substituição, com métricas de glosa evitada visíveis desde o MVP</w:t>
            </w:r>
          </w:p>
        </w:tc>
      </w:tr>
      <w:tr w:rsidR="00691BD6" w14:paraId="3B1AFF36" w14:textId="77777777">
        <w:tblPrEx>
          <w:tblCellMar>
            <w:top w:w="0" w:type="dxa"/>
            <w:bottom w:w="0" w:type="dxa"/>
          </w:tblCellMar>
        </w:tblPrEx>
        <w:tc>
          <w:tcPr>
            <w:tcW w:w="3400" w:type="dxa"/>
            <w:tcMar>
              <w:top w:w="100" w:type="dxa"/>
              <w:left w:w="120" w:type="dxa"/>
              <w:bottom w:w="100" w:type="dxa"/>
              <w:right w:w="120" w:type="dxa"/>
            </w:tcMar>
            <w:vAlign w:val="center"/>
          </w:tcPr>
          <w:p w14:paraId="17D212D1" w14:textId="77777777" w:rsidR="00691BD6" w:rsidRDefault="00000000">
            <w:r>
              <w:rPr>
                <w:color w:val="222222"/>
                <w:sz w:val="19"/>
                <w:szCs w:val="19"/>
              </w:rPr>
              <w:t>Dependência de qualidade do modelo local para extração complexa</w:t>
            </w:r>
          </w:p>
        </w:tc>
        <w:tc>
          <w:tcPr>
            <w:tcW w:w="7200" w:type="dxa"/>
            <w:tcMar>
              <w:top w:w="100" w:type="dxa"/>
              <w:left w:w="120" w:type="dxa"/>
              <w:bottom w:w="100" w:type="dxa"/>
              <w:right w:w="120" w:type="dxa"/>
            </w:tcMar>
            <w:vAlign w:val="center"/>
          </w:tcPr>
          <w:p w14:paraId="712888F4" w14:textId="77777777" w:rsidR="00691BD6" w:rsidRDefault="00000000">
            <w:r>
              <w:rPr>
                <w:color w:val="222222"/>
                <w:sz w:val="19"/>
                <w:szCs w:val="19"/>
              </w:rPr>
              <w:t xml:space="preserve">Arquitetura de roteamento </w:t>
            </w:r>
            <w:proofErr w:type="spellStart"/>
            <w:r>
              <w:rPr>
                <w:color w:val="222222"/>
                <w:sz w:val="19"/>
                <w:szCs w:val="19"/>
              </w:rPr>
              <w:t>multimodelo</w:t>
            </w:r>
            <w:proofErr w:type="spellEnd"/>
            <w:r>
              <w:rPr>
                <w:color w:val="222222"/>
                <w:sz w:val="19"/>
                <w:szCs w:val="19"/>
              </w:rPr>
              <w:t xml:space="preserve"> (seção 6.1) permite reforço pontual sem </w:t>
            </w:r>
            <w:proofErr w:type="gramStart"/>
            <w:r>
              <w:rPr>
                <w:color w:val="222222"/>
                <w:sz w:val="19"/>
                <w:szCs w:val="19"/>
              </w:rPr>
              <w:t>abrir mão do</w:t>
            </w:r>
            <w:proofErr w:type="gramEnd"/>
            <w:r>
              <w:rPr>
                <w:color w:val="222222"/>
                <w:sz w:val="19"/>
                <w:szCs w:val="19"/>
              </w:rPr>
              <w:t xml:space="preserve"> padrão local-</w:t>
            </w:r>
            <w:proofErr w:type="spellStart"/>
            <w:r>
              <w:rPr>
                <w:color w:val="222222"/>
                <w:sz w:val="19"/>
                <w:szCs w:val="19"/>
              </w:rPr>
              <w:t>first</w:t>
            </w:r>
            <w:proofErr w:type="spellEnd"/>
          </w:p>
        </w:tc>
      </w:tr>
    </w:tbl>
    <w:p w14:paraId="15BD9D27" w14:textId="77777777" w:rsidR="00691BD6" w:rsidRDefault="00000000">
      <w:pPr>
        <w:pStyle w:val="Ttulo1"/>
        <w:pBdr>
          <w:bottom w:val="single" w:sz="6" w:space="4" w:color="1F3552"/>
        </w:pBdr>
        <w:spacing w:before="480" w:after="200"/>
      </w:pPr>
      <w:r>
        <w:rPr>
          <w:b/>
          <w:bCs/>
          <w:color w:val="1F3552"/>
          <w:sz w:val="30"/>
          <w:szCs w:val="30"/>
        </w:rPr>
        <w:t>11. Próximos passos sugeridos</w:t>
      </w:r>
    </w:p>
    <w:p w14:paraId="26428F2D" w14:textId="77777777" w:rsidR="00691BD6" w:rsidRDefault="00000000">
      <w:pPr>
        <w:pStyle w:val="PargrafodaLista"/>
        <w:numPr>
          <w:ilvl w:val="0"/>
          <w:numId w:val="2"/>
        </w:numPr>
        <w:spacing w:after="100" w:line="280" w:lineRule="auto"/>
      </w:pPr>
      <w:r>
        <w:rPr>
          <w:color w:val="222222"/>
          <w:sz w:val="21"/>
          <w:szCs w:val="21"/>
        </w:rPr>
        <w:t>Validar este modelo com o próprio caso Unimed–</w:t>
      </w:r>
      <w:proofErr w:type="spellStart"/>
      <w:r>
        <w:rPr>
          <w:color w:val="222222"/>
          <w:sz w:val="21"/>
          <w:szCs w:val="21"/>
        </w:rPr>
        <w:t>Oncoradium</w:t>
      </w:r>
      <w:proofErr w:type="spellEnd"/>
      <w:r>
        <w:rPr>
          <w:color w:val="222222"/>
          <w:sz w:val="21"/>
          <w:szCs w:val="21"/>
        </w:rPr>
        <w:t>: processar os 5 documentos no MVP e conferir se o dossiê vivo reconstrói corretamente a linha do tempo da seção 1</w:t>
      </w:r>
    </w:p>
    <w:p w14:paraId="627B790D" w14:textId="77777777" w:rsidR="00691BD6" w:rsidRDefault="00000000">
      <w:pPr>
        <w:pStyle w:val="PargrafodaLista"/>
        <w:numPr>
          <w:ilvl w:val="0"/>
          <w:numId w:val="2"/>
        </w:numPr>
        <w:spacing w:after="100" w:line="280" w:lineRule="auto"/>
      </w:pPr>
      <w:r>
        <w:rPr>
          <w:color w:val="222222"/>
          <w:sz w:val="21"/>
          <w:szCs w:val="21"/>
        </w:rPr>
        <w:t>Definir se o primeiro cliente-piloto será do lado prestador (foco em redução de glosa) ou operadora (foco em redução de desperdício), para priorizar o painel correspondente</w:t>
      </w:r>
    </w:p>
    <w:p w14:paraId="35DFE168" w14:textId="77777777" w:rsidR="00691BD6" w:rsidRDefault="00000000">
      <w:pPr>
        <w:pStyle w:val="PargrafodaLista"/>
        <w:numPr>
          <w:ilvl w:val="0"/>
          <w:numId w:val="2"/>
        </w:numPr>
        <w:spacing w:after="100" w:line="280" w:lineRule="auto"/>
      </w:pPr>
      <w:r>
        <w:rPr>
          <w:color w:val="222222"/>
          <w:sz w:val="21"/>
          <w:szCs w:val="21"/>
        </w:rPr>
        <w:t>Levantar, junto ao piloto escolhido, o volume real de guias/mês e o histórico de glosa dos últimos 12 meses, para calibrar o motor preditivo com dados reais</w:t>
      </w:r>
    </w:p>
    <w:p w14:paraId="68D72C05" w14:textId="77777777" w:rsidR="00691BD6" w:rsidRDefault="00000000">
      <w:pPr>
        <w:pStyle w:val="PargrafodaLista"/>
        <w:numPr>
          <w:ilvl w:val="0"/>
          <w:numId w:val="2"/>
        </w:numPr>
        <w:spacing w:after="100" w:line="280" w:lineRule="auto"/>
      </w:pPr>
      <w:r>
        <w:rPr>
          <w:color w:val="222222"/>
          <w:sz w:val="21"/>
          <w:szCs w:val="21"/>
        </w:rPr>
        <w:t xml:space="preserve">Especificar a infraestrutura local (servidor </w:t>
      </w:r>
      <w:proofErr w:type="spellStart"/>
      <w:r>
        <w:rPr>
          <w:color w:val="222222"/>
          <w:sz w:val="21"/>
          <w:szCs w:val="21"/>
        </w:rPr>
        <w:t>on-premise</w:t>
      </w:r>
      <w:proofErr w:type="spellEnd"/>
      <w:r>
        <w:rPr>
          <w:color w:val="222222"/>
          <w:sz w:val="21"/>
          <w:szCs w:val="21"/>
        </w:rPr>
        <w:t xml:space="preserve"> ou VPS privado) e confirmar a integração com o Hermes </w:t>
      </w:r>
      <w:proofErr w:type="spellStart"/>
      <w:r>
        <w:rPr>
          <w:color w:val="222222"/>
          <w:sz w:val="21"/>
          <w:szCs w:val="21"/>
        </w:rPr>
        <w:t>multimodelo</w:t>
      </w:r>
      <w:proofErr w:type="spellEnd"/>
      <w:r>
        <w:rPr>
          <w:color w:val="222222"/>
          <w:sz w:val="21"/>
          <w:szCs w:val="21"/>
        </w:rPr>
        <w:t xml:space="preserve"> já em uso</w:t>
      </w:r>
    </w:p>
    <w:p w14:paraId="21C0A278" w14:textId="77777777" w:rsidR="00691BD6" w:rsidRDefault="00000000">
      <w:pPr>
        <w:pStyle w:val="PargrafodaLista"/>
        <w:numPr>
          <w:ilvl w:val="0"/>
          <w:numId w:val="2"/>
        </w:numPr>
        <w:spacing w:after="100" w:line="280" w:lineRule="auto"/>
      </w:pPr>
      <w:r>
        <w:rPr>
          <w:color w:val="222222"/>
          <w:sz w:val="21"/>
          <w:szCs w:val="21"/>
        </w:rPr>
        <w:lastRenderedPageBreak/>
        <w:t>Definir o dicionário de códigos/variáveis do segundo tipo de prestador a ser coberto (após oncologia), conforme a seção 7</w:t>
      </w:r>
    </w:p>
    <w:sectPr w:rsidR="00691BD6">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3D088" w14:textId="77777777" w:rsidR="00755E70" w:rsidRDefault="00755E70">
      <w:r>
        <w:separator/>
      </w:r>
    </w:p>
  </w:endnote>
  <w:endnote w:type="continuationSeparator" w:id="0">
    <w:p w14:paraId="4521B7E0" w14:textId="77777777" w:rsidR="00755E70" w:rsidRDefault="00755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734A5" w14:textId="77777777" w:rsidR="00691BD6" w:rsidRDefault="00000000">
    <w:pPr>
      <w:jc w:val="center"/>
    </w:pPr>
    <w:r>
      <w:rPr>
        <w:color w:val="5A5A5A"/>
        <w:sz w:val="15"/>
        <w:szCs w:val="15"/>
      </w:rPr>
      <w:t>Documento interno — processamento local-</w:t>
    </w:r>
    <w:proofErr w:type="spellStart"/>
    <w:r>
      <w:rPr>
        <w:color w:val="5A5A5A"/>
        <w:sz w:val="15"/>
        <w:szCs w:val="15"/>
      </w:rPr>
      <w:t>first</w:t>
    </w:r>
    <w:proofErr w:type="spellEnd"/>
    <w:r>
      <w:rPr>
        <w:color w:val="5A5A5A"/>
        <w:sz w:val="15"/>
        <w:szCs w:val="15"/>
      </w:rPr>
      <w:t xml:space="preserve"> — página </w:t>
    </w:r>
    <w:r>
      <w:rPr>
        <w:color w:val="5A5A5A"/>
        <w:sz w:val="15"/>
        <w:szCs w:val="15"/>
      </w:rPr>
      <w:fldChar w:fldCharType="begin"/>
    </w:r>
    <w:r>
      <w:rPr>
        <w:color w:val="5A5A5A"/>
        <w:sz w:val="15"/>
        <w:szCs w:val="15"/>
      </w:rPr>
      <w:instrText>PAGE</w:instrText>
    </w:r>
    <w:r>
      <w:rPr>
        <w:color w:val="5A5A5A"/>
        <w:sz w:val="15"/>
        <w:szCs w:val="15"/>
      </w:rPr>
      <w:fldChar w:fldCharType="separate"/>
    </w:r>
    <w:r w:rsidR="007668D2">
      <w:rPr>
        <w:noProof/>
        <w:color w:val="5A5A5A"/>
        <w:sz w:val="15"/>
        <w:szCs w:val="15"/>
      </w:rPr>
      <w:t>1</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3901" w14:textId="77777777" w:rsidR="00755E70" w:rsidRDefault="00755E70">
      <w:r>
        <w:separator/>
      </w:r>
    </w:p>
  </w:footnote>
  <w:footnote w:type="continuationSeparator" w:id="0">
    <w:p w14:paraId="3E186B03" w14:textId="77777777" w:rsidR="00755E70" w:rsidRDefault="00755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98CC" w14:textId="77777777" w:rsidR="00691BD6" w:rsidRDefault="00000000">
    <w:pPr>
      <w:jc w:val="right"/>
    </w:pPr>
    <w:r>
      <w:rPr>
        <w:color w:val="5A5A5A"/>
        <w:sz w:val="15"/>
        <w:szCs w:val="15"/>
      </w:rPr>
      <w:t>RAY.IA — Analisador Preditivo de Contratos com Prestadores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81DB6"/>
    <w:multiLevelType w:val="hybridMultilevel"/>
    <w:tmpl w:val="1AE2AE2E"/>
    <w:lvl w:ilvl="0" w:tplc="A5425B42">
      <w:start w:val="1"/>
      <w:numFmt w:val="bullet"/>
      <w:lvlText w:val="●"/>
      <w:lvlJc w:val="left"/>
      <w:pPr>
        <w:ind w:left="720" w:hanging="360"/>
      </w:pPr>
    </w:lvl>
    <w:lvl w:ilvl="1" w:tplc="47D2C880">
      <w:start w:val="1"/>
      <w:numFmt w:val="bullet"/>
      <w:lvlText w:val="○"/>
      <w:lvlJc w:val="left"/>
      <w:pPr>
        <w:ind w:left="1440" w:hanging="360"/>
      </w:pPr>
    </w:lvl>
    <w:lvl w:ilvl="2" w:tplc="8C74C56A">
      <w:start w:val="1"/>
      <w:numFmt w:val="bullet"/>
      <w:lvlText w:val="■"/>
      <w:lvlJc w:val="left"/>
      <w:pPr>
        <w:ind w:left="2160" w:hanging="360"/>
      </w:pPr>
    </w:lvl>
    <w:lvl w:ilvl="3" w:tplc="09626D36">
      <w:start w:val="1"/>
      <w:numFmt w:val="bullet"/>
      <w:lvlText w:val="●"/>
      <w:lvlJc w:val="left"/>
      <w:pPr>
        <w:ind w:left="2880" w:hanging="360"/>
      </w:pPr>
    </w:lvl>
    <w:lvl w:ilvl="4" w:tplc="47C6C29E">
      <w:start w:val="1"/>
      <w:numFmt w:val="bullet"/>
      <w:lvlText w:val="○"/>
      <w:lvlJc w:val="left"/>
      <w:pPr>
        <w:ind w:left="3600" w:hanging="360"/>
      </w:pPr>
    </w:lvl>
    <w:lvl w:ilvl="5" w:tplc="A754C666">
      <w:start w:val="1"/>
      <w:numFmt w:val="bullet"/>
      <w:lvlText w:val="■"/>
      <w:lvlJc w:val="left"/>
      <w:pPr>
        <w:ind w:left="4320" w:hanging="360"/>
      </w:pPr>
    </w:lvl>
    <w:lvl w:ilvl="6" w:tplc="AB486E28">
      <w:start w:val="1"/>
      <w:numFmt w:val="bullet"/>
      <w:lvlText w:val="●"/>
      <w:lvlJc w:val="left"/>
      <w:pPr>
        <w:ind w:left="5040" w:hanging="360"/>
      </w:pPr>
    </w:lvl>
    <w:lvl w:ilvl="7" w:tplc="7EE0F82E">
      <w:start w:val="1"/>
      <w:numFmt w:val="bullet"/>
      <w:lvlText w:val="●"/>
      <w:lvlJc w:val="left"/>
      <w:pPr>
        <w:ind w:left="5760" w:hanging="360"/>
      </w:pPr>
    </w:lvl>
    <w:lvl w:ilvl="8" w:tplc="C6DEACE2">
      <w:start w:val="1"/>
      <w:numFmt w:val="bullet"/>
      <w:lvlText w:val="●"/>
      <w:lvlJc w:val="left"/>
      <w:pPr>
        <w:ind w:left="6480" w:hanging="360"/>
      </w:pPr>
    </w:lvl>
  </w:abstractNum>
  <w:abstractNum w:abstractNumId="1" w15:restartNumberingAfterBreak="0">
    <w:nsid w:val="20CC5FB4"/>
    <w:multiLevelType w:val="hybridMultilevel"/>
    <w:tmpl w:val="97B8138C"/>
    <w:lvl w:ilvl="0" w:tplc="1F569DD8">
      <w:start w:val="1"/>
      <w:numFmt w:val="bullet"/>
      <w:lvlText w:val="•"/>
      <w:lvlJc w:val="left"/>
      <w:pPr>
        <w:ind w:left="420" w:hanging="260"/>
      </w:pPr>
    </w:lvl>
    <w:lvl w:ilvl="1" w:tplc="D1543C52">
      <w:start w:val="1"/>
      <w:numFmt w:val="bullet"/>
      <w:lvlText w:val="–"/>
      <w:lvlJc w:val="left"/>
      <w:pPr>
        <w:ind w:left="760" w:hanging="260"/>
      </w:pPr>
    </w:lvl>
    <w:lvl w:ilvl="2" w:tplc="7846BBBE">
      <w:numFmt w:val="decimal"/>
      <w:lvlText w:val=""/>
      <w:lvlJc w:val="left"/>
    </w:lvl>
    <w:lvl w:ilvl="3" w:tplc="F14A61DE">
      <w:numFmt w:val="decimal"/>
      <w:lvlText w:val=""/>
      <w:lvlJc w:val="left"/>
    </w:lvl>
    <w:lvl w:ilvl="4" w:tplc="DB1A3708">
      <w:numFmt w:val="decimal"/>
      <w:lvlText w:val=""/>
      <w:lvlJc w:val="left"/>
    </w:lvl>
    <w:lvl w:ilvl="5" w:tplc="B66019B8">
      <w:numFmt w:val="decimal"/>
      <w:lvlText w:val=""/>
      <w:lvlJc w:val="left"/>
    </w:lvl>
    <w:lvl w:ilvl="6" w:tplc="15689DA0">
      <w:numFmt w:val="decimal"/>
      <w:lvlText w:val=""/>
      <w:lvlJc w:val="left"/>
    </w:lvl>
    <w:lvl w:ilvl="7" w:tplc="803AD304">
      <w:numFmt w:val="decimal"/>
      <w:lvlText w:val=""/>
      <w:lvlJc w:val="left"/>
    </w:lvl>
    <w:lvl w:ilvl="8" w:tplc="DD7443B8">
      <w:numFmt w:val="decimal"/>
      <w:lvlText w:val=""/>
      <w:lvlJc w:val="left"/>
    </w:lvl>
  </w:abstractNum>
  <w:num w:numId="1" w16cid:durableId="567426583">
    <w:abstractNumId w:val="0"/>
    <w:lvlOverride w:ilvl="0">
      <w:startOverride w:val="1"/>
    </w:lvlOverride>
  </w:num>
  <w:num w:numId="2" w16cid:durableId="19243364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BD6"/>
    <w:rsid w:val="003079F5"/>
    <w:rsid w:val="00691BD6"/>
    <w:rsid w:val="00755E70"/>
    <w:rsid w:val="007668D2"/>
    <w:rsid w:val="00D13F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02AD663"/>
  <w15:docId w15:val="{184793A9-AEB6-404D-902C-E506F424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3471</Words>
  <Characters>19840</Characters>
  <Application>Microsoft Office Word</Application>
  <DocSecurity>0</DocSecurity>
  <Lines>425</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Barbosa</cp:lastModifiedBy>
  <cp:revision>2</cp:revision>
  <dcterms:created xsi:type="dcterms:W3CDTF">2026-09-09T16:53:00Z</dcterms:created>
  <dcterms:modified xsi:type="dcterms:W3CDTF">2026-09-09T16:53:00Z</dcterms:modified>
</cp:coreProperties>
</file>