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107AC" w14:textId="77777777" w:rsidR="00822216" w:rsidRDefault="00441AB2">
      <w:pPr>
        <w:spacing w:after="40"/>
      </w:pPr>
      <w:r>
        <w:rPr>
          <w:rFonts w:ascii="Trebuchet MS" w:eastAsia="Trebuchet MS" w:hAnsi="Trebuchet MS" w:cs="Trebuchet MS"/>
          <w:b/>
          <w:bCs/>
          <w:color w:val="4D148C"/>
          <w:sz w:val="44"/>
          <w:szCs w:val="44"/>
        </w:rPr>
        <w:t>FDE Capstone Rubric</w:t>
      </w:r>
    </w:p>
    <w:p w14:paraId="1E2107AD" w14:textId="77777777" w:rsidR="00822216" w:rsidRDefault="00441AB2">
      <w:pPr>
        <w:spacing w:after="30"/>
      </w:pPr>
      <w:r>
        <w:rPr>
          <w:sz w:val="24"/>
          <w:szCs w:val="24"/>
        </w:rPr>
        <w:t>AI Agent Development Capstone, FedEx FDE Program</w:t>
      </w:r>
    </w:p>
    <w:p w14:paraId="1E2107AE" w14:textId="77777777" w:rsidR="00822216" w:rsidRDefault="00441AB2">
      <w:pPr>
        <w:spacing w:after="30"/>
      </w:pPr>
      <w:r>
        <w:rPr>
          <w:color w:val="6B5E80"/>
          <w:sz w:val="20"/>
          <w:szCs w:val="20"/>
        </w:rPr>
        <w:t>Version 5.0   |   Coding assistant: GitHub Copilot (Agent Mode, VS Code)</w:t>
      </w:r>
    </w:p>
    <w:p w14:paraId="1E2107AF" w14:textId="77777777" w:rsidR="00822216" w:rsidRDefault="00441AB2">
      <w:pPr>
        <w:pBdr>
          <w:bottom w:val="single" w:sz="12" w:space="6" w:color="FF6600"/>
        </w:pBdr>
        <w:spacing w:after="260"/>
      </w:pPr>
      <w:r>
        <w:rPr>
          <w:color w:val="6B5E80"/>
          <w:sz w:val="20"/>
          <w:szCs w:val="20"/>
        </w:rPr>
        <w:t>Used by facilitators on Certification Day. Distributed to participants at the start of the capstone.</w:t>
      </w:r>
    </w:p>
    <w:p w14:paraId="1E2107B0" w14:textId="77777777" w:rsidR="00822216" w:rsidRDefault="00441AB2">
      <w:pPr>
        <w:pStyle w:val="Heading2"/>
      </w:pPr>
      <w:r>
        <w:t>How grading works</w:t>
      </w:r>
    </w:p>
    <w:p w14:paraId="1E2107B1" w14:textId="4037EA7A" w:rsidR="00822216" w:rsidRDefault="00E756B3">
      <w:pPr>
        <w:spacing w:after="140"/>
      </w:pPr>
      <w:r>
        <w:t>The capstone</w:t>
      </w:r>
      <w:r w:rsidR="00441AB2">
        <w:t xml:space="preserve"> </w:t>
      </w:r>
      <w:r>
        <w:t>is</w:t>
      </w:r>
      <w:r w:rsidR="00441AB2">
        <w:t xml:space="preserve"> graded as a team, not individually. Everyone on a team receives the same capstone result. Individual </w:t>
      </w:r>
      <w:r w:rsidR="00DE2030">
        <w:t>commentary</w:t>
      </w:r>
      <w:r w:rsidR="00441AB2">
        <w:t xml:space="preserve"> is captured separately through the weekly assessments</w:t>
      </w:r>
      <w:r w:rsidR="00DE2030">
        <w:t xml:space="preserve"> and interaction</w:t>
      </w:r>
      <w:r w:rsidR="00441AB2">
        <w:t>, not here.</w:t>
      </w:r>
    </w:p>
    <w:p w14:paraId="1E2107B2" w14:textId="77777777" w:rsidR="00822216" w:rsidRDefault="00441AB2">
      <w:pPr>
        <w:spacing w:after="140"/>
      </w:pPr>
      <w:r>
        <w:t xml:space="preserve">Your team result rests on two things: the artifacts in your team repository, and your team presentation on the final day (a </w:t>
      </w:r>
      <w:proofErr w:type="gramStart"/>
      <w:r>
        <w:t>3 to 5 minute</w:t>
      </w:r>
      <w:proofErr w:type="gramEnd"/>
      <w:r>
        <w:t xml:space="preserve"> demonstration plus one live debrief question). Facilitators also observe your team across the build days, not only on the final day, so build steadily and commit as you go.</w:t>
      </w:r>
    </w:p>
    <w:p w14:paraId="1E2107B3" w14:textId="77777777" w:rsidR="00822216" w:rsidRDefault="00441AB2">
      <w:pPr>
        <w:spacing w:after="120"/>
      </w:pPr>
      <w:r>
        <w:t>Each category is evaluated against three designations: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22216" w14:paraId="1E210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shd w:val="clear" w:color="auto" w:fill="4D14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4" w14:textId="77777777" w:rsidR="00822216" w:rsidRDefault="00441AB2">
            <w:r>
              <w:rPr>
                <w:rFonts w:ascii="Trebuchet MS" w:eastAsia="Trebuchet MS" w:hAnsi="Trebuchet MS" w:cs="Trebuchet MS"/>
                <w:b/>
                <w:bCs/>
                <w:color w:val="FFFFFF"/>
              </w:rPr>
              <w:t>Designation</w:t>
            </w:r>
          </w:p>
        </w:tc>
        <w:tc>
          <w:tcPr>
            <w:tcW w:w="260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shd w:val="clear" w:color="auto" w:fill="4D14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5" w14:textId="77777777" w:rsidR="00822216" w:rsidRDefault="00441AB2">
            <w:r>
              <w:rPr>
                <w:rFonts w:ascii="Trebuchet MS" w:eastAsia="Trebuchet MS" w:hAnsi="Trebuchet MS" w:cs="Trebuchet MS"/>
                <w:b/>
                <w:bCs/>
                <w:color w:val="FFFFFF"/>
              </w:rPr>
              <w:t>Rule</w:t>
            </w:r>
          </w:p>
        </w:tc>
      </w:tr>
      <w:tr w:rsidR="00822216" w14:paraId="1E2107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shd w:val="clear" w:color="auto" w:fill="F4F1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7" w14:textId="77777777" w:rsidR="00822216" w:rsidRDefault="00441AB2">
            <w:r>
              <w:rPr>
                <w:rFonts w:ascii="Trebuchet MS" w:eastAsia="Trebuchet MS" w:hAnsi="Trebuchet MS" w:cs="Trebuchet MS"/>
                <w:b/>
                <w:bCs/>
                <w:color w:val="4D148C"/>
              </w:rPr>
              <w:t>Pass</w:t>
            </w:r>
          </w:p>
        </w:tc>
        <w:tc>
          <w:tcPr>
            <w:tcW w:w="676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8" w14:textId="77777777" w:rsidR="00822216" w:rsidRDefault="00441AB2">
            <w:r>
              <w:t>All checkboxes in the category are met.</w:t>
            </w:r>
          </w:p>
        </w:tc>
      </w:tr>
      <w:tr w:rsidR="00822216" w14:paraId="1E2107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shd w:val="clear" w:color="auto" w:fill="F4F1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A" w14:textId="77777777" w:rsidR="00822216" w:rsidRDefault="00441AB2">
            <w:r>
              <w:rPr>
                <w:rFonts w:ascii="Trebuchet MS" w:eastAsia="Trebuchet MS" w:hAnsi="Trebuchet MS" w:cs="Trebuchet MS"/>
                <w:b/>
                <w:bCs/>
                <w:color w:val="4D148C"/>
              </w:rPr>
              <w:t>Pass with notes</w:t>
            </w:r>
          </w:p>
        </w:tc>
        <w:tc>
          <w:tcPr>
            <w:tcW w:w="676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B" w14:textId="77777777" w:rsidR="00822216" w:rsidRDefault="00441AB2">
            <w:r>
              <w:t>All checkboxes are met, and the facilitator wants to flag something for the Final Program Summary Report: depth of effort worth recognizing, a judgment call worth a note, or a gap worth surfacing for the Stage 5 conversation.</w:t>
            </w:r>
          </w:p>
        </w:tc>
      </w:tr>
      <w:tr w:rsidR="00822216" w14:paraId="1E2107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shd w:val="clear" w:color="auto" w:fill="F4F1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D" w14:textId="77777777" w:rsidR="00822216" w:rsidRDefault="00441AB2">
            <w:r>
              <w:rPr>
                <w:rFonts w:ascii="Trebuchet MS" w:eastAsia="Trebuchet MS" w:hAnsi="Trebuchet MS" w:cs="Trebuchet MS"/>
                <w:b/>
                <w:bCs/>
                <w:color w:val="4D148C"/>
              </w:rPr>
              <w:t>Needs attention</w:t>
            </w:r>
          </w:p>
        </w:tc>
        <w:tc>
          <w:tcPr>
            <w:tcW w:w="6760" w:type="dxa"/>
            <w:tcBorders>
              <w:top w:val="single" w:sz="4" w:space="0" w:color="D9CFEA"/>
              <w:left w:val="single" w:sz="4" w:space="0" w:color="D9CFEA"/>
              <w:bottom w:val="single" w:sz="4" w:space="0" w:color="D9CFEA"/>
              <w:right w:val="single" w:sz="4" w:space="0" w:color="D9CFEA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07BE" w14:textId="77777777" w:rsidR="00822216" w:rsidRDefault="00441AB2">
            <w:r>
              <w:t>One or more checkboxes are not met.</w:t>
            </w:r>
          </w:p>
        </w:tc>
      </w:tr>
    </w:tbl>
    <w:p w14:paraId="1E2107C0" w14:textId="77777777" w:rsidR="00822216" w:rsidRDefault="00441AB2">
      <w:pPr>
        <w:spacing w:before="200" w:after="140"/>
      </w:pPr>
      <w:r>
        <w:t>Your team must earn pass or pass with notes on all six categories to earn capstone certification. A single needs attention on any category triggers facilitator review and a documented remediation note in the Final Program Summary Report.</w:t>
      </w:r>
    </w:p>
    <w:p w14:paraId="1E2107C1" w14:textId="77777777" w:rsidR="00822216" w:rsidRDefault="00441AB2">
      <w:pPr>
        <w:spacing w:after="140"/>
      </w:pPr>
      <w:r>
        <w:t>There are no percentage weights and no numeric scores. The check or no-check determination on each item is the unit of facilitator judgment.</w:t>
      </w:r>
    </w:p>
    <w:p w14:paraId="1E2107C2" w14:textId="77777777" w:rsidR="00822216" w:rsidRDefault="00441AB2">
      <w:pPr>
        <w:pStyle w:val="Heading2"/>
        <w:spacing w:before="240"/>
      </w:pPr>
      <w:r>
        <w:t>The six categories</w:t>
      </w:r>
    </w:p>
    <w:p w14:paraId="1E2107C3" w14:textId="77777777" w:rsidR="00822216" w:rsidRDefault="00441AB2">
      <w:pPr>
        <w:pStyle w:val="Heading3"/>
      </w:pPr>
      <w:r>
        <w:t>1. Agent functionality and correctness</w:t>
      </w:r>
    </w:p>
    <w:p w14:paraId="1E2107C4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Agent runs end to end on all defined capstone scenarios without crashing</w:t>
      </w:r>
    </w:p>
    <w:p w14:paraId="1E2107C5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 xml:space="preserve">Outputs conform to the </w:t>
      </w:r>
      <w:proofErr w:type="spellStart"/>
      <w:r>
        <w:t>Pydantic</w:t>
      </w:r>
      <w:proofErr w:type="spellEnd"/>
      <w:r>
        <w:t xml:space="preserve"> models defined in the spec (structured, typed, validated)</w:t>
      </w:r>
    </w:p>
    <w:p w14:paraId="1E2107C6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Final decision (approve / deny / escalate, or go / no-go) includes supporting rationale tied to evidence</w:t>
      </w:r>
    </w:p>
    <w:p w14:paraId="1E2107C7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Handles the provided test inputs, including edge cases identified in the capstone brief</w:t>
      </w:r>
    </w:p>
    <w:p w14:paraId="1E2107C8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Agent selects appropriate tools and calls them with valid arguments (the full trajectory, not just the final output)</w:t>
      </w:r>
    </w:p>
    <w:p w14:paraId="1E2107C9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Tool docstrings are clear enough that the agent reliably selects the right tool</w:t>
      </w:r>
    </w:p>
    <w:p w14:paraId="1E2107CA" w14:textId="77777777" w:rsidR="00822216" w:rsidRDefault="00441AB2">
      <w:pPr>
        <w:pStyle w:val="Heading3"/>
      </w:pPr>
      <w:r>
        <w:lastRenderedPageBreak/>
        <w:t>2. Spec-driven design quality</w:t>
      </w:r>
    </w:p>
    <w:p w14:paraId="1E2107CB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</w:r>
      <w:proofErr w:type="spellStart"/>
      <w:r>
        <w:t>OpenSpec</w:t>
      </w:r>
      <w:proofErr w:type="spellEnd"/>
      <w:r>
        <w:t xml:space="preserve"> change proposal exists (proposal.md) and is coherent: clear why, what changes, and impact</w:t>
      </w:r>
    </w:p>
    <w:p w14:paraId="1E2107CC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tasks.md exists with an implementation checklist, and the checklist reflects the actual work completed</w:t>
      </w:r>
    </w:p>
    <w:p w14:paraId="1E2107CD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design.md present for non-trivial design decisions (or a justified absence for straightforward changes)</w:t>
      </w:r>
    </w:p>
    <w:p w14:paraId="1E2107CE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Spec deltas (specs/ additions or modifications) are present and match what was built</w:t>
      </w:r>
    </w:p>
    <w:p w14:paraId="1E2107CF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</w:r>
      <w:proofErr w:type="spellStart"/>
      <w:r>
        <w:t>Pydantic</w:t>
      </w:r>
      <w:proofErr w:type="spellEnd"/>
      <w:r>
        <w:t xml:space="preserve"> models match the spec</w:t>
      </w:r>
    </w:p>
    <w:p w14:paraId="1E2107D0" w14:textId="77777777" w:rsidR="00822216" w:rsidRDefault="00441AB2">
      <w:pPr>
        <w:pStyle w:val="Heading3"/>
      </w:pPr>
      <w:r>
        <w:t>3. Engineering quality</w:t>
      </w:r>
    </w:p>
    <w:p w14:paraId="1E2107D1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Test coverage on the agent's tools (not just the agent class)</w:t>
      </w:r>
    </w:p>
    <w:p w14:paraId="1E2107D2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Test coverage on decision logic and edge cases, including partial-data scenarios</w:t>
      </w:r>
    </w:p>
    <w:p w14:paraId="1E2107D3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Error handling on every tool call, with a defined fallback path (for example, a partial recommendation when a tool is unavailable)</w:t>
      </w:r>
    </w:p>
    <w:p w14:paraId="1E2107D4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Guardrails on agent inputs and outputs: schema validation, plus refusal or escalation paths for out-of-policy requests</w:t>
      </w:r>
    </w:p>
    <w:p w14:paraId="1E2107D5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No hardcoded secrets or credentials in the repository</w:t>
      </w:r>
    </w:p>
    <w:p w14:paraId="1E2107D6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Code is readable: naming, structure, and comments where they earn their place</w:t>
      </w:r>
    </w:p>
    <w:p w14:paraId="1E2107D7" w14:textId="77777777" w:rsidR="00822216" w:rsidRDefault="00441AB2">
      <w:pPr>
        <w:pStyle w:val="Heading3"/>
      </w:pPr>
      <w:r>
        <w:t>4. RAPID controls execution (FedEx-specific)</w:t>
      </w:r>
    </w:p>
    <w:p w14:paraId="1E2107D8" w14:textId="77777777" w:rsidR="00822216" w:rsidRDefault="00441AB2">
      <w:pPr>
        <w:spacing w:after="140"/>
      </w:pPr>
      <w:r>
        <w:t>These two RAPID controls are provided to you as ready-to-use artifacts: a GitHub Copilot peer-review prompt and a Go/No-Go checklist template, both in your starter repository. No prior knowledge of the RAPID framework is assumed. You invoke and complete them; they are not something you author from scratch.</w:t>
      </w:r>
    </w:p>
    <w:p w14:paraId="1E2107D9" w14:textId="77777777" w:rsidR="00822216" w:rsidRDefault="00441AB2">
      <w:pPr>
        <w:spacing w:before="120" w:after="60"/>
      </w:pPr>
      <w:r>
        <w:rPr>
          <w:rFonts w:ascii="Trebuchet MS" w:eastAsia="Trebuchet MS" w:hAnsi="Trebuchet MS" w:cs="Trebuchet MS"/>
          <w:b/>
          <w:bCs/>
          <w:color w:val="4D148C"/>
        </w:rPr>
        <w:t>ITC.009, Code Review and Approval</w:t>
      </w:r>
    </w:p>
    <w:p w14:paraId="1E2107DA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Review artifact produced via the GitHub Copilot RAPID peer-review prompt (docs/rapid-peer-review.md)</w:t>
      </w:r>
    </w:p>
    <w:p w14:paraId="1E2107DB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All six RAPID Code Work Product criteria addressed: modified-file inventory, author and reviewer identification, InfoSec alignment, Reference Architecture alignment, documentation adequacy, behavioral scope compliance</w:t>
      </w:r>
    </w:p>
    <w:p w14:paraId="1E2107DC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Summary recommendation present (approved / approved with conditions / not approved)</w:t>
      </w:r>
    </w:p>
    <w:p w14:paraId="1E2107DD" w14:textId="77777777" w:rsidR="00822216" w:rsidRDefault="00441AB2">
      <w:pPr>
        <w:spacing w:before="120" w:after="60"/>
      </w:pPr>
      <w:r>
        <w:rPr>
          <w:rFonts w:ascii="Trebuchet MS" w:eastAsia="Trebuchet MS" w:hAnsi="Trebuchet MS" w:cs="Trebuchet MS"/>
          <w:b/>
          <w:bCs/>
          <w:color w:val="4D148C"/>
        </w:rPr>
        <w:t>ITC.004, Go/No-Go Decision</w:t>
      </w:r>
    </w:p>
    <w:p w14:paraId="1E2107DE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Go/No-Go checklist (docs/go-no-go-checklist.md) completed with all sections filled: requirements documented, code review complete, test results summary, outstanding issues, backout plan, decision with rationale</w:t>
      </w:r>
    </w:p>
    <w:p w14:paraId="1E2107DF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Rationale is evidence-backed, not asserted</w:t>
      </w:r>
    </w:p>
    <w:p w14:paraId="1E2107E0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(Brownfield track only) The agent's own go/no-go output and the team's Go/No-Go checklist are compared explicitly: the team can articulate where they align and where they diverge</w:t>
      </w:r>
    </w:p>
    <w:p w14:paraId="1E2107E1" w14:textId="77777777" w:rsidR="00822216" w:rsidRDefault="00441AB2">
      <w:pPr>
        <w:spacing w:before="100" w:after="140"/>
      </w:pPr>
      <w:r>
        <w:rPr>
          <w:i/>
          <w:iCs/>
          <w:color w:val="6B5E80"/>
        </w:rPr>
        <w:t>Both controls are graded together as a single category. Both must be completed for the category to pass.</w:t>
      </w:r>
    </w:p>
    <w:p w14:paraId="1E2107E2" w14:textId="77777777" w:rsidR="00822216" w:rsidRDefault="00441AB2">
      <w:pPr>
        <w:pStyle w:val="Heading3"/>
      </w:pPr>
      <w:r>
        <w:lastRenderedPageBreak/>
        <w:t>5. AI-assisted development practice</w:t>
      </w:r>
    </w:p>
    <w:p w14:paraId="1E2107E3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proofErr w:type="gramStart"/>
      <w:r>
        <w:tab/>
        <w:t>.</w:t>
      </w:r>
      <w:proofErr w:type="spellStart"/>
      <w:r>
        <w:t>github</w:t>
      </w:r>
      <w:proofErr w:type="spellEnd"/>
      <w:r>
        <w:t>/copilot-instructions.md</w:t>
      </w:r>
      <w:proofErr w:type="gramEnd"/>
      <w:r>
        <w:t xml:space="preserve"> is present, coherent, and reflects the project, not the starter template left untouched (AGENTS.md is acceptable if the repo uses it as the agent instruction file)</w:t>
      </w:r>
    </w:p>
    <w:p w14:paraId="1E2107E4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Commit history is preserved and inspectable (no flattened branches, no force-pushes that erased iteration)</w:t>
      </w:r>
    </w:p>
    <w:p w14:paraId="1E2107E5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Prompts, prompt logs, or design notes are present in the repository or the capstone deliverables folder</w:t>
      </w:r>
    </w:p>
    <w:p w14:paraId="1E2107E6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</w:r>
      <w:proofErr w:type="spellStart"/>
      <w:r>
        <w:t>OpenSpec</w:t>
      </w:r>
      <w:proofErr w:type="spellEnd"/>
      <w:r>
        <w:t xml:space="preserve"> proposal iteration is visible in the commit history: the proposal evolved, it was not backfilled after the build</w:t>
      </w:r>
    </w:p>
    <w:p w14:paraId="1E2107E7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Team can articulate at least one instance where they rejected or redirected Copilot output, and why</w:t>
      </w:r>
    </w:p>
    <w:p w14:paraId="1E2107E8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Team can articulate where GitHub Copilot helped them move faster and where they had to step in and correct it (matches one of the structured debrief questions)</w:t>
      </w:r>
    </w:p>
    <w:p w14:paraId="1E2107E9" w14:textId="77777777" w:rsidR="00822216" w:rsidRDefault="00441AB2">
      <w:pPr>
        <w:pStyle w:val="Heading3"/>
      </w:pPr>
      <w:r>
        <w:t>6. Demonstration and communication</w:t>
      </w:r>
    </w:p>
    <w:p w14:paraId="1E2107EA" w14:textId="78ED0458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 xml:space="preserve">Team delivers a </w:t>
      </w:r>
      <w:proofErr w:type="gramStart"/>
      <w:r w:rsidR="000D19D8">
        <w:t>10</w:t>
      </w:r>
      <w:r w:rsidR="00F75047">
        <w:t xml:space="preserve"> minute</w:t>
      </w:r>
      <w:proofErr w:type="gramEnd"/>
      <w:r w:rsidR="00F75047">
        <w:t xml:space="preserve"> (max)</w:t>
      </w:r>
      <w:r>
        <w:t xml:space="preserve"> team demonstration</w:t>
      </w:r>
      <w:r w:rsidR="00F75047">
        <w:t xml:space="preserve"> and presentation</w:t>
      </w:r>
    </w:p>
    <w:p w14:paraId="1E2107EB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Team explains why they made specific design choices, not just what they did</w:t>
      </w:r>
    </w:p>
    <w:p w14:paraId="1E2107EC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Team identifies what they would do differently with more time</w:t>
      </w:r>
    </w:p>
    <w:p w14:paraId="1E2107ED" w14:textId="74D5CF5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 xml:space="preserve">Team answers </w:t>
      </w:r>
      <w:r w:rsidR="00BC0404">
        <w:t xml:space="preserve">any Q and A </w:t>
      </w:r>
      <w:r>
        <w:t>live</w:t>
      </w:r>
    </w:p>
    <w:p w14:paraId="1E2107EE" w14:textId="77777777" w:rsidR="00822216" w:rsidRDefault="00441AB2">
      <w:pPr>
        <w:tabs>
          <w:tab w:val="left" w:pos="360"/>
        </w:tabs>
        <w:spacing w:after="80"/>
        <w:ind w:left="360" w:hanging="360"/>
      </w:pPr>
      <w:r>
        <w:rPr>
          <w:color w:val="FF6600"/>
        </w:rPr>
        <w:t>☐</w:t>
      </w:r>
      <w:r>
        <w:tab/>
        <w:t>Demo audience is treated as a sponsor, not as peers: the framing is stakeholder-appropriate</w:t>
      </w:r>
    </w:p>
    <w:p w14:paraId="1E2107EF" w14:textId="77777777" w:rsidR="00822216" w:rsidRDefault="00441AB2">
      <w:pPr>
        <w:pStyle w:val="Heading2"/>
        <w:spacing w:before="240"/>
      </w:pPr>
      <w:r>
        <w:t>Out of scope</w:t>
      </w:r>
    </w:p>
    <w:p w14:paraId="1E2107F0" w14:textId="77777777" w:rsidR="00822216" w:rsidRDefault="00441AB2">
      <w:pPr>
        <w:spacing w:after="100"/>
      </w:pPr>
      <w:r>
        <w:t>These are deliberately not graded:</w:t>
      </w:r>
    </w:p>
    <w:p w14:paraId="1E2107F1" w14:textId="77777777" w:rsidR="00822216" w:rsidRDefault="00441AB2">
      <w:pPr>
        <w:pStyle w:val="ListParagraph"/>
        <w:numPr>
          <w:ilvl w:val="0"/>
          <w:numId w:val="2"/>
        </w:numPr>
        <w:spacing w:after="70"/>
      </w:pPr>
      <w:r>
        <w:t>Visual polish, slide design, presentation aesthetics. You are graded on substance, not production value.</w:t>
      </w:r>
    </w:p>
    <w:p w14:paraId="1E2107F2" w14:textId="77777777" w:rsidR="00822216" w:rsidRDefault="00441AB2">
      <w:pPr>
        <w:pStyle w:val="ListParagraph"/>
        <w:numPr>
          <w:ilvl w:val="0"/>
          <w:numId w:val="2"/>
        </w:numPr>
        <w:spacing w:after="70"/>
      </w:pPr>
      <w:r>
        <w:t>Lines of code, commit count, or other volume metrics. AI-assisted development changes what these signals mean.</w:t>
      </w:r>
    </w:p>
    <w:p w14:paraId="1E2107F3" w14:textId="68659783" w:rsidR="00822216" w:rsidRDefault="00441AB2">
      <w:pPr>
        <w:pStyle w:val="ListParagraph"/>
        <w:numPr>
          <w:ilvl w:val="0"/>
          <w:numId w:val="2"/>
        </w:numPr>
        <w:spacing w:after="70"/>
      </w:pPr>
      <w:r>
        <w:t xml:space="preserve">Individual contribution within a team. Teams are graded as teams; individual </w:t>
      </w:r>
      <w:r w:rsidR="005D3310">
        <w:t>feedback</w:t>
      </w:r>
      <w:r>
        <w:t xml:space="preserve"> is captured through the weekly assessments</w:t>
      </w:r>
      <w:r w:rsidR="005D3310">
        <w:t xml:space="preserve"> and through interaction in the program</w:t>
      </w:r>
      <w:r>
        <w:t>.</w:t>
      </w:r>
    </w:p>
    <w:p w14:paraId="1E2107F4" w14:textId="77777777" w:rsidR="00822216" w:rsidRDefault="00441AB2">
      <w:pPr>
        <w:pStyle w:val="ListParagraph"/>
        <w:numPr>
          <w:ilvl w:val="0"/>
          <w:numId w:val="2"/>
        </w:numPr>
        <w:spacing w:after="70"/>
      </w:pPr>
      <w:r>
        <w:t>RAPID controls beyond ITC.009 and ITC.004. Only these two are in scope for the capstone.</w:t>
      </w:r>
    </w:p>
    <w:p w14:paraId="1E2107F5" w14:textId="77777777" w:rsidR="00822216" w:rsidRDefault="00441AB2">
      <w:pPr>
        <w:pStyle w:val="ListParagraph"/>
        <w:numPr>
          <w:ilvl w:val="0"/>
          <w:numId w:val="2"/>
        </w:numPr>
        <w:spacing w:after="70"/>
      </w:pPr>
      <w:proofErr w:type="spellStart"/>
      <w:r>
        <w:t>OpenSpec</w:t>
      </w:r>
      <w:proofErr w:type="spellEnd"/>
      <w:r>
        <w:t xml:space="preserve"> lifecycle hygiene such as archival. Not a quality signal, not graded.</w:t>
      </w:r>
    </w:p>
    <w:p w14:paraId="1E2107F6" w14:textId="77777777" w:rsidR="00822216" w:rsidRDefault="00441AB2">
      <w:pPr>
        <w:pStyle w:val="ListParagraph"/>
        <w:numPr>
          <w:ilvl w:val="0"/>
          <w:numId w:val="2"/>
        </w:numPr>
        <w:spacing w:after="70"/>
      </w:pPr>
      <w:r>
        <w:t>Production deployment readiness. The capstone teaches production-readiness patterns, not readiness to deploy into FedEx production.</w:t>
      </w:r>
    </w:p>
    <w:sectPr w:rsidR="008222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9F7909"/>
    <w:multiLevelType w:val="hybridMultilevel"/>
    <w:tmpl w:val="4672EFEA"/>
    <w:lvl w:ilvl="0" w:tplc="6D62C286">
      <w:start w:val="1"/>
      <w:numFmt w:val="bullet"/>
      <w:lvlText w:val="•"/>
      <w:lvlJc w:val="left"/>
      <w:pPr>
        <w:ind w:left="460" w:hanging="280"/>
      </w:pPr>
    </w:lvl>
    <w:lvl w:ilvl="1" w:tplc="3DD8E5C6">
      <w:numFmt w:val="decimal"/>
      <w:lvlText w:val=""/>
      <w:lvlJc w:val="left"/>
    </w:lvl>
    <w:lvl w:ilvl="2" w:tplc="7786DC7C">
      <w:numFmt w:val="decimal"/>
      <w:lvlText w:val=""/>
      <w:lvlJc w:val="left"/>
    </w:lvl>
    <w:lvl w:ilvl="3" w:tplc="2ECC9728">
      <w:numFmt w:val="decimal"/>
      <w:lvlText w:val=""/>
      <w:lvlJc w:val="left"/>
    </w:lvl>
    <w:lvl w:ilvl="4" w:tplc="872E77EE">
      <w:numFmt w:val="decimal"/>
      <w:lvlText w:val=""/>
      <w:lvlJc w:val="left"/>
    </w:lvl>
    <w:lvl w:ilvl="5" w:tplc="8B943B90">
      <w:numFmt w:val="decimal"/>
      <w:lvlText w:val=""/>
      <w:lvlJc w:val="left"/>
    </w:lvl>
    <w:lvl w:ilvl="6" w:tplc="8020ABB6">
      <w:numFmt w:val="decimal"/>
      <w:lvlText w:val=""/>
      <w:lvlJc w:val="left"/>
    </w:lvl>
    <w:lvl w:ilvl="7" w:tplc="EC82F648">
      <w:numFmt w:val="decimal"/>
      <w:lvlText w:val=""/>
      <w:lvlJc w:val="left"/>
    </w:lvl>
    <w:lvl w:ilvl="8" w:tplc="DECE1CA2">
      <w:numFmt w:val="decimal"/>
      <w:lvlText w:val=""/>
      <w:lvlJc w:val="left"/>
    </w:lvl>
  </w:abstractNum>
  <w:abstractNum w:abstractNumId="1" w15:restartNumberingAfterBreak="0">
    <w:nsid w:val="742F7445"/>
    <w:multiLevelType w:val="hybridMultilevel"/>
    <w:tmpl w:val="F27AB20C"/>
    <w:lvl w:ilvl="0" w:tplc="2B8ABAD0">
      <w:start w:val="1"/>
      <w:numFmt w:val="bullet"/>
      <w:lvlText w:val="●"/>
      <w:lvlJc w:val="left"/>
      <w:pPr>
        <w:ind w:left="720" w:hanging="360"/>
      </w:pPr>
    </w:lvl>
    <w:lvl w:ilvl="1" w:tplc="6C50BF2E">
      <w:start w:val="1"/>
      <w:numFmt w:val="bullet"/>
      <w:lvlText w:val="○"/>
      <w:lvlJc w:val="left"/>
      <w:pPr>
        <w:ind w:left="1440" w:hanging="360"/>
      </w:pPr>
    </w:lvl>
    <w:lvl w:ilvl="2" w:tplc="DF043E80">
      <w:start w:val="1"/>
      <w:numFmt w:val="bullet"/>
      <w:lvlText w:val="■"/>
      <w:lvlJc w:val="left"/>
      <w:pPr>
        <w:ind w:left="2160" w:hanging="360"/>
      </w:pPr>
    </w:lvl>
    <w:lvl w:ilvl="3" w:tplc="3F0C3302">
      <w:start w:val="1"/>
      <w:numFmt w:val="bullet"/>
      <w:lvlText w:val="●"/>
      <w:lvlJc w:val="left"/>
      <w:pPr>
        <w:ind w:left="2880" w:hanging="360"/>
      </w:pPr>
    </w:lvl>
    <w:lvl w:ilvl="4" w:tplc="5D1095B2">
      <w:start w:val="1"/>
      <w:numFmt w:val="bullet"/>
      <w:lvlText w:val="○"/>
      <w:lvlJc w:val="left"/>
      <w:pPr>
        <w:ind w:left="3600" w:hanging="360"/>
      </w:pPr>
    </w:lvl>
    <w:lvl w:ilvl="5" w:tplc="515A4FF4">
      <w:start w:val="1"/>
      <w:numFmt w:val="bullet"/>
      <w:lvlText w:val="■"/>
      <w:lvlJc w:val="left"/>
      <w:pPr>
        <w:ind w:left="4320" w:hanging="360"/>
      </w:pPr>
    </w:lvl>
    <w:lvl w:ilvl="6" w:tplc="AD24C474">
      <w:start w:val="1"/>
      <w:numFmt w:val="bullet"/>
      <w:lvlText w:val="●"/>
      <w:lvlJc w:val="left"/>
      <w:pPr>
        <w:ind w:left="5040" w:hanging="360"/>
      </w:pPr>
    </w:lvl>
    <w:lvl w:ilvl="7" w:tplc="2AE60358">
      <w:start w:val="1"/>
      <w:numFmt w:val="bullet"/>
      <w:lvlText w:val="●"/>
      <w:lvlJc w:val="left"/>
      <w:pPr>
        <w:ind w:left="5760" w:hanging="360"/>
      </w:pPr>
    </w:lvl>
    <w:lvl w:ilvl="8" w:tplc="A43E7C10">
      <w:start w:val="1"/>
      <w:numFmt w:val="bullet"/>
      <w:lvlText w:val="●"/>
      <w:lvlJc w:val="left"/>
      <w:pPr>
        <w:ind w:left="6480" w:hanging="360"/>
      </w:pPr>
    </w:lvl>
  </w:abstractNum>
  <w:num w:numId="1" w16cid:durableId="1515925406">
    <w:abstractNumId w:val="1"/>
    <w:lvlOverride w:ilvl="0">
      <w:startOverride w:val="1"/>
    </w:lvlOverride>
  </w:num>
  <w:num w:numId="2" w16cid:durableId="1947688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16"/>
    <w:rsid w:val="000D19D8"/>
    <w:rsid w:val="00441AB2"/>
    <w:rsid w:val="005D3310"/>
    <w:rsid w:val="006E3661"/>
    <w:rsid w:val="00822216"/>
    <w:rsid w:val="00BC0404"/>
    <w:rsid w:val="00DE2030"/>
    <w:rsid w:val="00E756B3"/>
    <w:rsid w:val="00F7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107AC"/>
  <w15:docId w15:val="{2B4422C9-98D5-5D4E-8A9C-B345A5E7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C123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ascii="Trebuchet MS" w:eastAsia="Trebuchet MS" w:hAnsi="Trebuchet MS" w:cs="Trebuchet MS"/>
      <w:b/>
      <w:bCs/>
      <w:color w:val="4D148C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90"/>
      <w:outlineLvl w:val="2"/>
    </w:pPr>
    <w:rPr>
      <w:rFonts w:ascii="Trebuchet MS" w:eastAsia="Trebuchet MS" w:hAnsi="Trebuchet MS" w:cs="Trebuchet MS"/>
      <w:b/>
      <w:bCs/>
      <w:color w:val="4D14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992</Words>
  <Characters>5538</Characters>
  <Application>Microsoft Office Word</Application>
  <DocSecurity>0</DocSecurity>
  <Lines>106</Lines>
  <Paragraphs>83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FDE Capstone Rubric v5.0</dc:title>
  <dc:creator>FedEx FDE Program</dc:creator>
  <cp:lastModifiedBy>Penick, Chris</cp:lastModifiedBy>
  <cp:revision>2</cp:revision>
  <dcterms:created xsi:type="dcterms:W3CDTF">2026-10-19T15:53:00Z</dcterms:created>
  <dcterms:modified xsi:type="dcterms:W3CDTF">2026-10-19T15:53:00Z</dcterms:modified>
</cp:coreProperties>
</file>