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1FE09" w14:textId="5FAAC10E" w:rsidR="00E24D44" w:rsidRPr="00F31B5D" w:rsidRDefault="00F31B5D" w:rsidP="00F31B5D">
      <w:pPr>
        <w:pStyle w:val="Prrafodelista"/>
        <w:numPr>
          <w:ilvl w:val="0"/>
          <w:numId w:val="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31B5D">
        <w:rPr>
          <w:rFonts w:ascii="Times New Roman" w:eastAsia="Times New Roman" w:hAnsi="Times New Roman" w:cs="Times New Roman"/>
          <w:b/>
          <w:sz w:val="32"/>
          <w:szCs w:val="32"/>
        </w:rPr>
        <w:t xml:space="preserve">Introducción </w:t>
      </w:r>
    </w:p>
    <w:p w14:paraId="713B67DF" w14:textId="77777777" w:rsidR="00E24D44" w:rsidRPr="00F31B5D" w:rsidRDefault="00000000" w:rsidP="00F31B5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F31B5D">
        <w:rPr>
          <w:rFonts w:ascii="Times New Roman" w:eastAsia="Gungsuh" w:hAnsi="Times New Roman" w:cs="Times New Roman"/>
          <w:sz w:val="24"/>
          <w:szCs w:val="24"/>
        </w:rPr>
        <w:t>Las leguminosas de grano, o pulses, desempeñan un papel estratégico para la seguridad alimentaria gracias a su alto contenido proteico y a su capacidad de fijar nitrógeno atmosférico. Solo en 2022 la producción mundial de pulses alcanzó ≈ 96 millones t, y se proyecta que llegue a 125 millones t en 2032, impulsada por la búsqueda de dietas más sostenibles (FAO, 2025).</w:t>
      </w:r>
    </w:p>
    <w:p w14:paraId="0F0CD698" w14:textId="77777777" w:rsidR="00E24D44" w:rsidRPr="00F31B5D" w:rsidRDefault="00000000" w:rsidP="00F31B5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F31B5D">
        <w:rPr>
          <w:rFonts w:ascii="Times New Roman" w:eastAsia="Times New Roman" w:hAnsi="Times New Roman" w:cs="Times New Roman"/>
          <w:sz w:val="24"/>
          <w:szCs w:val="24"/>
        </w:rPr>
        <w:t>Dentro de este grupo, el garbanzo (</w:t>
      </w:r>
      <w:proofErr w:type="spellStart"/>
      <w:r w:rsidRPr="00F31B5D">
        <w:rPr>
          <w:rFonts w:ascii="Times New Roman" w:eastAsia="Times New Roman" w:hAnsi="Times New Roman" w:cs="Times New Roman"/>
          <w:i/>
          <w:sz w:val="24"/>
          <w:szCs w:val="24"/>
        </w:rPr>
        <w:t>Cicer</w:t>
      </w:r>
      <w:proofErr w:type="spellEnd"/>
      <w:r w:rsidRPr="00F31B5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31B5D">
        <w:rPr>
          <w:rFonts w:ascii="Times New Roman" w:eastAsia="Times New Roman" w:hAnsi="Times New Roman" w:cs="Times New Roman"/>
          <w:i/>
          <w:sz w:val="24"/>
          <w:szCs w:val="24"/>
        </w:rPr>
        <w:t>arietinum</w:t>
      </w:r>
      <w:proofErr w:type="spellEnd"/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 L.) sobresale por su aporte de proteína vegetal, fibra </w:t>
      </w:r>
      <w:proofErr w:type="spellStart"/>
      <w:r w:rsidRPr="00F31B5D">
        <w:rPr>
          <w:rFonts w:ascii="Times New Roman" w:eastAsia="Times New Roman" w:hAnsi="Times New Roman" w:cs="Times New Roman"/>
          <w:sz w:val="24"/>
          <w:szCs w:val="24"/>
        </w:rPr>
        <w:t>dietaria</w:t>
      </w:r>
      <w:proofErr w:type="spellEnd"/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 y micronutrientes esenciales. Datos recientes de FAOSTAT indican que la producción global de garbanzo pasó de 15,9 Mt (2021) a 18,1 Mt (2022), con India concentrando más del 70 % del total (FAOSTAT, 2022).</w:t>
      </w:r>
    </w:p>
    <w:p w14:paraId="7A912D01" w14:textId="7D16890E" w:rsidR="00E24D44" w:rsidRPr="00F31B5D" w:rsidRDefault="00000000" w:rsidP="00F31B5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A pesar de su relevancia nutricional, presenta con frecuencia dormancia física: una impermeabilidad de la testa que dificulta la imbibición y retrasa o impide la germinación. Este tipo de dormancia, común en al menos 18 familias de angiospermas, se debe a la presencia de un estrato </w:t>
      </w:r>
      <w:proofErr w:type="spellStart"/>
      <w:r w:rsidRPr="00F31B5D">
        <w:rPr>
          <w:rFonts w:ascii="Times New Roman" w:eastAsia="Times New Roman" w:hAnsi="Times New Roman" w:cs="Times New Roman"/>
          <w:sz w:val="24"/>
          <w:szCs w:val="24"/>
        </w:rPr>
        <w:t>palisádico</w:t>
      </w:r>
      <w:proofErr w:type="spellEnd"/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31B5D">
        <w:rPr>
          <w:rFonts w:ascii="Times New Roman" w:eastAsia="Times New Roman" w:hAnsi="Times New Roman" w:cs="Times New Roman"/>
          <w:sz w:val="24"/>
          <w:szCs w:val="24"/>
        </w:rPr>
        <w:t>macrosclereidas</w:t>
      </w:r>
      <w:proofErr w:type="spellEnd"/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 endurecidas y </w:t>
      </w:r>
      <w:proofErr w:type="spellStart"/>
      <w:r w:rsidRPr="00F31B5D">
        <w:rPr>
          <w:rFonts w:ascii="Times New Roman" w:eastAsia="Times New Roman" w:hAnsi="Times New Roman" w:cs="Times New Roman"/>
          <w:sz w:val="24"/>
          <w:szCs w:val="24"/>
        </w:rPr>
        <w:t>cutinizadas</w:t>
      </w:r>
      <w:proofErr w:type="spellEnd"/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31B5D">
        <w:rPr>
          <w:rFonts w:ascii="Times New Roman" w:eastAsia="Times New Roman" w:hAnsi="Times New Roman" w:cs="Times New Roman"/>
          <w:sz w:val="24"/>
          <w:szCs w:val="24"/>
        </w:rPr>
        <w:t>Wen</w:t>
      </w:r>
      <w:proofErr w:type="spellEnd"/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 et al., 2024).</w:t>
      </w:r>
      <w:hyperlink r:id="rId7">
        <w:r w:rsidR="00E24D44" w:rsidRPr="00F31B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 w:rsidRPr="00F31B5D">
        <w:rPr>
          <w:rFonts w:ascii="Times New Roman" w:eastAsia="Times New Roman" w:hAnsi="Times New Roman" w:cs="Times New Roman"/>
          <w:sz w:val="24"/>
          <w:szCs w:val="24"/>
        </w:rPr>
        <w:t>En contextos productivos, la dormancia física reduce la uniformidad de emergencia y obliga a aplicar tratamientos previos a la siembra.</w:t>
      </w:r>
    </w:p>
    <w:p w14:paraId="2E786A83" w14:textId="77777777" w:rsidR="00E24D44" w:rsidRPr="00F31B5D" w:rsidRDefault="00000000" w:rsidP="00F31B5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1B5D">
        <w:rPr>
          <w:rFonts w:ascii="Times New Roman" w:eastAsia="Times New Roman" w:hAnsi="Times New Roman" w:cs="Times New Roman"/>
          <w:sz w:val="24"/>
          <w:szCs w:val="24"/>
        </w:rPr>
        <w:t>Diversos estudios han demostrado que la escarificación puede romper eficazmente esa barrera mecánica. Entre las alternativas más empleadas se encuentran:</w:t>
      </w:r>
    </w:p>
    <w:p w14:paraId="281B75D4" w14:textId="77777777" w:rsidR="00F31B5D" w:rsidRDefault="00000000" w:rsidP="00F31B5D">
      <w:pPr>
        <w:numPr>
          <w:ilvl w:val="0"/>
          <w:numId w:val="5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1B5D">
        <w:rPr>
          <w:rFonts w:ascii="Times New Roman" w:eastAsia="Gungsuh" w:hAnsi="Times New Roman" w:cs="Times New Roman"/>
          <w:sz w:val="24"/>
          <w:szCs w:val="24"/>
        </w:rPr>
        <w:t>Abrasion</w:t>
      </w:r>
      <w:proofErr w:type="spellEnd"/>
      <w:r w:rsidRPr="00F31B5D">
        <w:rPr>
          <w:rFonts w:ascii="Times New Roman" w:eastAsia="Gungsuh" w:hAnsi="Times New Roman" w:cs="Times New Roman"/>
          <w:sz w:val="24"/>
          <w:szCs w:val="24"/>
        </w:rPr>
        <w:t xml:space="preserve"> mecánica con lija o papel de esmeril, que expone la capa interior y eleva la germinación hasta ≈ 94 % en </w:t>
      </w:r>
      <w:proofErr w:type="spellStart"/>
      <w:r w:rsidRPr="00F31B5D">
        <w:rPr>
          <w:rFonts w:ascii="Times New Roman" w:eastAsia="Times New Roman" w:hAnsi="Times New Roman" w:cs="Times New Roman"/>
          <w:i/>
          <w:sz w:val="24"/>
          <w:szCs w:val="24"/>
        </w:rPr>
        <w:t>Cicer</w:t>
      </w:r>
      <w:proofErr w:type="spellEnd"/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1B5D">
        <w:rPr>
          <w:rFonts w:ascii="Times New Roman" w:eastAsia="Times New Roman" w:hAnsi="Times New Roman" w:cs="Times New Roman"/>
          <w:sz w:val="24"/>
          <w:szCs w:val="24"/>
        </w:rPr>
        <w:t>spp</w:t>
      </w:r>
      <w:proofErr w:type="spellEnd"/>
      <w:r w:rsidRPr="00F31B5D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00F31B5D">
        <w:rPr>
          <w:rFonts w:ascii="Times New Roman" w:eastAsia="Times New Roman" w:hAnsi="Times New Roman" w:cs="Times New Roman"/>
          <w:sz w:val="24"/>
          <w:szCs w:val="24"/>
        </w:rPr>
        <w:t>Guma</w:t>
      </w:r>
      <w:proofErr w:type="spellEnd"/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 et al., 2010).</w:t>
      </w:r>
    </w:p>
    <w:p w14:paraId="3FB0FE16" w14:textId="77777777" w:rsidR="00F31B5D" w:rsidRDefault="00000000" w:rsidP="00F31B5D">
      <w:pPr>
        <w:numPr>
          <w:ilvl w:val="0"/>
          <w:numId w:val="5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B5D">
        <w:rPr>
          <w:rFonts w:ascii="Times New Roman" w:eastAsia="Times New Roman" w:hAnsi="Times New Roman" w:cs="Times New Roman"/>
          <w:sz w:val="24"/>
          <w:szCs w:val="24"/>
        </w:rPr>
        <w:t>Escarificación química mediante solventes orgánicos (p. ej., acetona) o ácidos fuertes, que disuelven parcialmente las cutículas hidrofóbicas.</w:t>
      </w:r>
    </w:p>
    <w:p w14:paraId="674658D3" w14:textId="77777777" w:rsidR="00F31B5D" w:rsidRPr="00F31B5D" w:rsidRDefault="00000000" w:rsidP="00F31B5D">
      <w:pPr>
        <w:numPr>
          <w:ilvl w:val="0"/>
          <w:numId w:val="5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Tratamiento térmico con agua caliente (80–100 °C) durante cortos intervalos, capaz de agrietar la </w:t>
      </w:r>
      <w:proofErr w:type="gramStart"/>
      <w:r w:rsidRPr="00F31B5D">
        <w:rPr>
          <w:rFonts w:ascii="Times New Roman" w:eastAsia="Times New Roman" w:hAnsi="Times New Roman" w:cs="Times New Roman"/>
          <w:sz w:val="24"/>
          <w:szCs w:val="24"/>
        </w:rPr>
        <w:t>testa</w:t>
      </w:r>
      <w:proofErr w:type="gramEnd"/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 pero con riesgo de dañar el embrión si el tiempo o la temperatura se exceden.</w:t>
      </w:r>
    </w:p>
    <w:p w14:paraId="1EB404CC" w14:textId="61DFF1A6" w:rsidR="00E24D44" w:rsidRPr="00F31B5D" w:rsidRDefault="00F31B5D" w:rsidP="00F31B5D">
      <w:pPr>
        <w:spacing w:before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 No existe consenso sobre cuál de estos métodos ofrece el mejor balance entre eficacia, costo y seguridad para el operario. Además, la Regla ISTA exige porcentajes mínimos de germinación cercanos al 85 % para la certificación de lotes comerciales de garbanzo, lo que hace indispensable optimizar los protocolos de </w:t>
      </w:r>
      <w:proofErr w:type="spellStart"/>
      <w:r w:rsidRPr="00F31B5D">
        <w:rPr>
          <w:rFonts w:ascii="Times New Roman" w:eastAsia="Times New Roman" w:hAnsi="Times New Roman" w:cs="Times New Roman"/>
          <w:sz w:val="24"/>
          <w:szCs w:val="24"/>
        </w:rPr>
        <w:t>pregerminación</w:t>
      </w:r>
      <w:proofErr w:type="spellEnd"/>
      <w:r w:rsidRPr="00F31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28C845" w14:textId="77777777" w:rsidR="00E24D44" w:rsidRPr="00F31B5D" w:rsidRDefault="00000000" w:rsidP="00F31B5D">
      <w:pPr>
        <w:pStyle w:val="Ttulo3"/>
        <w:keepNext w:val="0"/>
        <w:keepLines w:val="0"/>
        <w:numPr>
          <w:ilvl w:val="0"/>
          <w:numId w:val="7"/>
        </w:numPr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b3wtbo8opwae" w:colFirst="0" w:colLast="0"/>
      <w:bookmarkEnd w:id="0"/>
      <w:r w:rsidRPr="00F31B5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Objetivo de este estudio</w:t>
      </w:r>
    </w:p>
    <w:p w14:paraId="6697E7D0" w14:textId="2104DF33" w:rsidR="00E24D44" w:rsidRPr="00F31B5D" w:rsidRDefault="00000000" w:rsidP="00F31B5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1B5D">
        <w:rPr>
          <w:rFonts w:ascii="Times New Roman" w:eastAsia="Times New Roman" w:hAnsi="Times New Roman" w:cs="Times New Roman"/>
          <w:sz w:val="24"/>
          <w:szCs w:val="24"/>
        </w:rPr>
        <w:t>Evaluar comparativamente cuatro tratamientos de escarificación lija (físico), acetona (químico), agua caliente (térmico) y un control sin escarificar— sobre:</w:t>
      </w:r>
    </w:p>
    <w:p w14:paraId="6CA5145D" w14:textId="043371C8" w:rsidR="00E24D44" w:rsidRPr="00F31B5D" w:rsidRDefault="00000000" w:rsidP="00F31B5D">
      <w:pPr>
        <w:numPr>
          <w:ilvl w:val="0"/>
          <w:numId w:val="8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B5D">
        <w:rPr>
          <w:rFonts w:ascii="Times New Roman" w:eastAsia="Times New Roman" w:hAnsi="Times New Roman" w:cs="Times New Roman"/>
          <w:sz w:val="24"/>
          <w:szCs w:val="24"/>
        </w:rPr>
        <w:t>Porcentaje final de germinación.</w:t>
      </w:r>
    </w:p>
    <w:p w14:paraId="140B3304" w14:textId="44A0A580" w:rsidR="00E24D44" w:rsidRPr="00F31B5D" w:rsidRDefault="00000000" w:rsidP="00F31B5D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B5D">
        <w:rPr>
          <w:rFonts w:ascii="Times New Roman" w:eastAsia="Times New Roman" w:hAnsi="Times New Roman" w:cs="Times New Roman"/>
          <w:sz w:val="24"/>
          <w:szCs w:val="24"/>
        </w:rPr>
        <w:t>Tiempo medio de germinación (MGT).</w:t>
      </w:r>
    </w:p>
    <w:p w14:paraId="0CB0E46B" w14:textId="61FA00E8" w:rsidR="00E24D44" w:rsidRPr="00F31B5D" w:rsidRDefault="00000000" w:rsidP="00F31B5D">
      <w:pPr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B5D">
        <w:rPr>
          <w:rFonts w:ascii="Times New Roman" w:eastAsia="Times New Roman" w:hAnsi="Times New Roman" w:cs="Times New Roman"/>
          <w:sz w:val="24"/>
          <w:szCs w:val="24"/>
        </w:rPr>
        <w:t>Índice de velocidad de germinación (IVG).</w:t>
      </w:r>
    </w:p>
    <w:p w14:paraId="34BA8C23" w14:textId="77777777" w:rsidR="00F31B5D" w:rsidRPr="00F31B5D" w:rsidRDefault="00000000" w:rsidP="00F31B5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1B5D">
        <w:rPr>
          <w:rFonts w:ascii="Times New Roman" w:eastAsia="Times New Roman" w:hAnsi="Times New Roman" w:cs="Times New Roman"/>
          <w:sz w:val="24"/>
          <w:szCs w:val="24"/>
        </w:rPr>
        <w:t>Los resultados permitirán definir la estrategia más eficiente y replicable para maximizar la emergencia uniforme del garbanzo en condiciones de laboratorio y, potencialmente, de campo.</w:t>
      </w:r>
      <w:bookmarkStart w:id="1" w:name="_34q2rpcl2s89" w:colFirst="0" w:colLast="0"/>
      <w:bookmarkEnd w:id="1"/>
    </w:p>
    <w:p w14:paraId="6236A8AF" w14:textId="4A684921" w:rsidR="00E24D44" w:rsidRPr="00F31B5D" w:rsidRDefault="00000000" w:rsidP="00F31B5D">
      <w:pPr>
        <w:pStyle w:val="Prrafodelista"/>
        <w:numPr>
          <w:ilvl w:val="0"/>
          <w:numId w:val="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31B5D">
        <w:rPr>
          <w:rFonts w:ascii="Times New Roman" w:eastAsia="Times New Roman" w:hAnsi="Times New Roman" w:cs="Times New Roman"/>
          <w:b/>
          <w:sz w:val="32"/>
          <w:szCs w:val="32"/>
        </w:rPr>
        <w:t>M</w:t>
      </w:r>
      <w:r w:rsidR="00506479" w:rsidRPr="00F31B5D">
        <w:rPr>
          <w:rFonts w:ascii="Times New Roman" w:eastAsia="Times New Roman" w:hAnsi="Times New Roman" w:cs="Times New Roman"/>
          <w:b/>
          <w:sz w:val="32"/>
          <w:szCs w:val="32"/>
        </w:rPr>
        <w:t>ateriales</w:t>
      </w:r>
    </w:p>
    <w:p w14:paraId="65F23BEE" w14:textId="7546E4F4" w:rsidR="00E24D44" w:rsidRPr="00F31B5D" w:rsidRDefault="00000000" w:rsidP="00F31B5D">
      <w:pPr>
        <w:pStyle w:val="Ttulo3"/>
        <w:keepNext w:val="0"/>
        <w:keepLines w:val="0"/>
        <w:numPr>
          <w:ilvl w:val="0"/>
          <w:numId w:val="9"/>
        </w:numPr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me5vfn2wif0y" w:colFirst="0" w:colLast="0"/>
      <w:bookmarkEnd w:id="2"/>
      <w:r w:rsidRPr="00F31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Semillas</w:t>
      </w:r>
    </w:p>
    <w:p w14:paraId="18F20B0E" w14:textId="727639C4" w:rsidR="00E24D44" w:rsidRPr="00F31B5D" w:rsidRDefault="00000000" w:rsidP="00F31B5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1B5D">
        <w:rPr>
          <w:rFonts w:ascii="Times New Roman" w:eastAsia="Times New Roman" w:hAnsi="Times New Roman" w:cs="Times New Roman"/>
          <w:sz w:val="24"/>
          <w:szCs w:val="24"/>
        </w:rPr>
        <w:t>Se emplearon semillas comerciales de garbanzo (</w:t>
      </w:r>
      <w:proofErr w:type="spellStart"/>
      <w:r w:rsidRPr="00F31B5D">
        <w:rPr>
          <w:rFonts w:ascii="Times New Roman" w:eastAsia="Times New Roman" w:hAnsi="Times New Roman" w:cs="Times New Roman"/>
          <w:i/>
          <w:sz w:val="24"/>
          <w:szCs w:val="24"/>
        </w:rPr>
        <w:t>Cicer</w:t>
      </w:r>
      <w:proofErr w:type="spellEnd"/>
      <w:r w:rsidRPr="00F31B5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31B5D">
        <w:rPr>
          <w:rFonts w:ascii="Times New Roman" w:eastAsia="Times New Roman" w:hAnsi="Times New Roman" w:cs="Times New Roman"/>
          <w:i/>
          <w:sz w:val="24"/>
          <w:szCs w:val="24"/>
        </w:rPr>
        <w:t>arietinum</w:t>
      </w:r>
      <w:proofErr w:type="spellEnd"/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 L.) variedad criolla </w:t>
      </w:r>
      <w:proofErr w:type="gramStart"/>
      <w:r w:rsidRPr="00F31B5D">
        <w:rPr>
          <w:rFonts w:ascii="Times New Roman" w:eastAsia="Times New Roman" w:hAnsi="Times New Roman" w:cs="Times New Roman"/>
          <w:sz w:val="24"/>
          <w:szCs w:val="24"/>
        </w:rPr>
        <w:t>Tumbes ,</w:t>
      </w:r>
      <w:proofErr w:type="gramEnd"/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 con 11 % de humedad y pureza física del 99 %. Las semillas se conservaron a </w:t>
      </w:r>
      <w:r w:rsidR="00F31B5D">
        <w:rPr>
          <w:rFonts w:ascii="Times New Roman" w:eastAsia="Times New Roman" w:hAnsi="Times New Roman" w:cs="Times New Roman"/>
          <w:sz w:val="24"/>
          <w:szCs w:val="24"/>
        </w:rPr>
        <w:t>temperatura ambiente</w:t>
      </w:r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 hasta el inicio de las pruebas, tal como recomiendan las normas de la International </w:t>
      </w:r>
      <w:proofErr w:type="spellStart"/>
      <w:r w:rsidRPr="00F31B5D">
        <w:rPr>
          <w:rFonts w:ascii="Times New Roman" w:eastAsia="Times New Roman" w:hAnsi="Times New Roman" w:cs="Times New Roman"/>
          <w:sz w:val="24"/>
          <w:szCs w:val="24"/>
        </w:rPr>
        <w:t>Seed</w:t>
      </w:r>
      <w:proofErr w:type="spellEnd"/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1B5D"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1B5D">
        <w:rPr>
          <w:rFonts w:ascii="Times New Roman" w:eastAsia="Times New Roman" w:hAnsi="Times New Roman" w:cs="Times New Roman"/>
          <w:sz w:val="24"/>
          <w:szCs w:val="24"/>
        </w:rPr>
        <w:t>Association</w:t>
      </w:r>
      <w:proofErr w:type="spellEnd"/>
      <w:r w:rsidRPr="00F31B5D">
        <w:rPr>
          <w:rFonts w:ascii="Times New Roman" w:eastAsia="Times New Roman" w:hAnsi="Times New Roman" w:cs="Times New Roman"/>
          <w:sz w:val="24"/>
          <w:szCs w:val="24"/>
        </w:rPr>
        <w:t xml:space="preserve"> (ISTA, 2025).</w:t>
      </w:r>
    </w:p>
    <w:p w14:paraId="189ED9A7" w14:textId="7EEE953A" w:rsidR="00E24D44" w:rsidRPr="00F31B5D" w:rsidRDefault="00000000" w:rsidP="00F31B5D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1B5D">
        <w:rPr>
          <w:rFonts w:ascii="Times New Roman" w:eastAsia="Times New Roman" w:hAnsi="Times New Roman" w:cs="Times New Roman"/>
          <w:b/>
          <w:sz w:val="24"/>
          <w:szCs w:val="24"/>
        </w:rPr>
        <w:t>Equipos y reactivos</w:t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E24D44" w:rsidRPr="00F31B5D" w14:paraId="12F1746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08CAC" w14:textId="77777777" w:rsidR="00E24D44" w:rsidRPr="00F31B5D" w:rsidRDefault="00000000" w:rsidP="00F31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5yobz8w9f66t" w:colFirst="0" w:colLast="0"/>
            <w:bookmarkEnd w:id="3"/>
            <w:r w:rsidRPr="00F31B5D">
              <w:rPr>
                <w:rFonts w:ascii="Times New Roman" w:hAnsi="Times New Roman" w:cs="Times New Roman"/>
                <w:sz w:val="20"/>
                <w:szCs w:val="20"/>
              </w:rPr>
              <w:t>Table 1: materiales y reactivos</w:t>
            </w:r>
          </w:p>
        </w:tc>
      </w:tr>
      <w:tr w:rsidR="00E24D44" w:rsidRPr="00F31B5D" w14:paraId="75D7E24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A9B88" w14:textId="77777777" w:rsidR="00E24D44" w:rsidRPr="00F31B5D" w:rsidRDefault="00E24D44" w:rsidP="00F31B5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0"/>
              <w:tblW w:w="78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45"/>
              <w:gridCol w:w="2835"/>
              <w:gridCol w:w="3735"/>
            </w:tblGrid>
            <w:tr w:rsidR="00E24D44" w:rsidRPr="00F31B5D" w14:paraId="574B4DC3" w14:textId="77777777">
              <w:trPr>
                <w:trHeight w:val="315"/>
              </w:trPr>
              <w:tc>
                <w:tcPr>
                  <w:tcW w:w="124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5FD98A2" w14:textId="77777777" w:rsidR="00E24D44" w:rsidRPr="00F31B5D" w:rsidRDefault="00000000" w:rsidP="00F31B5D">
                  <w:pPr>
                    <w:widowControl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Material / equipo</w:t>
                  </w:r>
                </w:p>
              </w:tc>
              <w:tc>
                <w:tcPr>
                  <w:tcW w:w="2835" w:type="dxa"/>
                  <w:tcBorders>
                    <w:top w:val="single" w:sz="5" w:space="0" w:color="000000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5CD54BBA" w14:textId="77777777" w:rsidR="00E24D44" w:rsidRPr="00F31B5D" w:rsidRDefault="00000000" w:rsidP="00F31B5D">
                  <w:pPr>
                    <w:widowControl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Especificación</w:t>
                  </w:r>
                </w:p>
              </w:tc>
              <w:tc>
                <w:tcPr>
                  <w:tcW w:w="3735" w:type="dxa"/>
                  <w:tcBorders>
                    <w:top w:val="single" w:sz="5" w:space="0" w:color="000000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DC70658" w14:textId="77777777" w:rsidR="00E24D44" w:rsidRPr="00F31B5D" w:rsidRDefault="00000000" w:rsidP="00F31B5D">
                  <w:pPr>
                    <w:widowControl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Uso en el ensayo</w:t>
                  </w:r>
                </w:p>
              </w:tc>
            </w:tr>
            <w:tr w:rsidR="00E24D44" w:rsidRPr="00F31B5D" w14:paraId="22440B03" w14:textId="77777777">
              <w:trPr>
                <w:trHeight w:val="555"/>
              </w:trPr>
              <w:tc>
                <w:tcPr>
                  <w:tcW w:w="1245" w:type="dxa"/>
                  <w:tcBorders>
                    <w:top w:val="single" w:sz="5" w:space="0" w:color="CCCCCC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EF30BFA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Táper plástico</w:t>
                  </w:r>
                </w:p>
              </w:tc>
              <w:tc>
                <w:tcPr>
                  <w:tcW w:w="2835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D1F635D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250 </w:t>
                  </w:r>
                  <w:proofErr w:type="spellStart"/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mL</w:t>
                  </w:r>
                  <w:proofErr w:type="spellEnd"/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polipropileno con tapa hermética</w:t>
                  </w:r>
                </w:p>
              </w:tc>
              <w:tc>
                <w:tcPr>
                  <w:tcW w:w="3735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833D634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Cada táper alojó 25 semillas dispuestas sobre una doble lámina de</w:t>
                  </w:r>
                </w:p>
                <w:p w14:paraId="07AD668E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papel toalla humedecida; funcionó como unidad individual de germinación</w:t>
                  </w:r>
                </w:p>
              </w:tc>
            </w:tr>
            <w:tr w:rsidR="00E24D44" w:rsidRPr="00F31B5D" w14:paraId="4FDB045B" w14:textId="77777777">
              <w:trPr>
                <w:trHeight w:val="555"/>
              </w:trPr>
              <w:tc>
                <w:tcPr>
                  <w:tcW w:w="1245" w:type="dxa"/>
                  <w:tcBorders>
                    <w:top w:val="single" w:sz="5" w:space="0" w:color="CCCCCC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7673920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Papel toalla</w:t>
                  </w:r>
                </w:p>
              </w:tc>
              <w:tc>
                <w:tcPr>
                  <w:tcW w:w="2835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E073B98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Celulosa virgen, 20 × 20 cm, libre de cloro</w:t>
                  </w:r>
                </w:p>
              </w:tc>
              <w:tc>
                <w:tcPr>
                  <w:tcW w:w="3735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6860E2F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Sustrato absorbente dentro de cada táper</w:t>
                  </w:r>
                </w:p>
              </w:tc>
            </w:tr>
            <w:tr w:rsidR="00E24D44" w:rsidRPr="00F31B5D" w14:paraId="72794E3A" w14:textId="77777777">
              <w:trPr>
                <w:trHeight w:val="315"/>
              </w:trPr>
              <w:tc>
                <w:tcPr>
                  <w:tcW w:w="1245" w:type="dxa"/>
                  <w:tcBorders>
                    <w:top w:val="single" w:sz="5" w:space="0" w:color="CCCCCC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042E463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Guantes de nitrilo</w:t>
                  </w:r>
                </w:p>
              </w:tc>
              <w:tc>
                <w:tcPr>
                  <w:tcW w:w="2835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1406ED3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5 mil, grado laboratorio</w:t>
                  </w:r>
                </w:p>
              </w:tc>
              <w:tc>
                <w:tcPr>
                  <w:tcW w:w="3735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5FE86BB8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Manipulación de semillas y solventes</w:t>
                  </w:r>
                </w:p>
              </w:tc>
            </w:tr>
            <w:tr w:rsidR="00E24D44" w:rsidRPr="00F31B5D" w14:paraId="798B1C1D" w14:textId="77777777">
              <w:trPr>
                <w:trHeight w:val="315"/>
              </w:trPr>
              <w:tc>
                <w:tcPr>
                  <w:tcW w:w="1245" w:type="dxa"/>
                  <w:tcBorders>
                    <w:top w:val="single" w:sz="5" w:space="0" w:color="CCCCCC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2BB05DA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Lija</w:t>
                  </w:r>
                </w:p>
              </w:tc>
              <w:tc>
                <w:tcPr>
                  <w:tcW w:w="2835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BDC3C8F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Grano #100 (alúmina)</w:t>
                  </w:r>
                </w:p>
              </w:tc>
              <w:tc>
                <w:tcPr>
                  <w:tcW w:w="3735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5B0C14E9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Abrasión de la testa (método físico)</w:t>
                  </w:r>
                </w:p>
              </w:tc>
            </w:tr>
            <w:tr w:rsidR="00E24D44" w:rsidRPr="00F31B5D" w14:paraId="015C8A9D" w14:textId="77777777">
              <w:trPr>
                <w:trHeight w:val="315"/>
              </w:trPr>
              <w:tc>
                <w:tcPr>
                  <w:tcW w:w="1245" w:type="dxa"/>
                  <w:tcBorders>
                    <w:top w:val="single" w:sz="5" w:space="0" w:color="CCCCCC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8C26CD5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Acetona</w:t>
                  </w:r>
                </w:p>
              </w:tc>
              <w:tc>
                <w:tcPr>
                  <w:tcW w:w="2835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5D62197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Arial Unicode MS" w:hAnsi="Times New Roman" w:cs="Times New Roman"/>
                      <w:sz w:val="20"/>
                      <w:szCs w:val="20"/>
                    </w:rPr>
                    <w:t>≥ 99 %, calidad ACS</w:t>
                  </w:r>
                </w:p>
              </w:tc>
              <w:tc>
                <w:tcPr>
                  <w:tcW w:w="3735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2D35B27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Escarificación química</w:t>
                  </w:r>
                </w:p>
              </w:tc>
            </w:tr>
            <w:tr w:rsidR="00E24D44" w:rsidRPr="00F31B5D" w14:paraId="49A72911" w14:textId="77777777">
              <w:trPr>
                <w:trHeight w:val="315"/>
              </w:trPr>
              <w:tc>
                <w:tcPr>
                  <w:tcW w:w="1245" w:type="dxa"/>
                  <w:tcBorders>
                    <w:top w:val="single" w:sz="5" w:space="0" w:color="CCCCCC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563E594A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Agua destilada</w:t>
                  </w:r>
                </w:p>
              </w:tc>
              <w:tc>
                <w:tcPr>
                  <w:tcW w:w="2835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0F45BD2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Conductividad &lt; 2 µS cm⁻¹</w:t>
                  </w:r>
                </w:p>
              </w:tc>
              <w:tc>
                <w:tcPr>
                  <w:tcW w:w="3735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9735C42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Humedecer el sustrato y enjuagues</w:t>
                  </w:r>
                </w:p>
              </w:tc>
            </w:tr>
          </w:tbl>
          <w:p w14:paraId="2CDF49E4" w14:textId="77777777" w:rsidR="00E24D44" w:rsidRPr="00F31B5D" w:rsidRDefault="00E24D44" w:rsidP="00F31B5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228C11" w14:textId="289F3CF6" w:rsidR="00E24D44" w:rsidRPr="00F31B5D" w:rsidRDefault="00000000" w:rsidP="00F31B5D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Diseño de tratamientos</w:t>
            </w:r>
          </w:p>
          <w:tbl>
            <w:tblPr>
              <w:tblStyle w:val="a1"/>
              <w:tblW w:w="8829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2456"/>
              <w:gridCol w:w="1959"/>
              <w:gridCol w:w="2207"/>
              <w:gridCol w:w="2207"/>
            </w:tblGrid>
            <w:tr w:rsidR="00E24D44" w:rsidRPr="00F31B5D" w14:paraId="6F2C057A" w14:textId="77777777" w:rsidTr="00013CC5">
              <w:tc>
                <w:tcPr>
                  <w:tcW w:w="24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16432A9" w14:textId="5C1A0FC7" w:rsidR="00E24D44" w:rsidRPr="00F31B5D" w:rsidRDefault="00000000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" w:name="s6jyt0egnq0v" w:colFirst="0" w:colLast="0"/>
                  <w:bookmarkEnd w:id="4"/>
                  <w:r w:rsidRPr="00013CC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Table </w:t>
                  </w:r>
                  <w:r w:rsidR="00F31B5D" w:rsidRPr="00013CC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2:</w:t>
                  </w:r>
                  <w:r w:rsidR="00013CC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31B5D" w:rsidRPr="009E07D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tratamientos</w:t>
                  </w:r>
                </w:p>
              </w:tc>
              <w:tc>
                <w:tcPr>
                  <w:tcW w:w="19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BF81FA2" w14:textId="77777777" w:rsidR="00E24D44" w:rsidRPr="00F31B5D" w:rsidRDefault="00E24D44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8E28A6D" w14:textId="77777777" w:rsidR="00E24D44" w:rsidRPr="00F31B5D" w:rsidRDefault="00E24D44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5E577A7" w14:textId="77777777" w:rsidR="00E24D44" w:rsidRPr="00F31B5D" w:rsidRDefault="00E24D44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24D44" w:rsidRPr="00F31B5D" w14:paraId="3C500DF0" w14:textId="77777777" w:rsidTr="00013CC5">
              <w:tc>
                <w:tcPr>
                  <w:tcW w:w="2456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6DB01ED" w14:textId="77777777" w:rsidR="00E24D44" w:rsidRPr="00F31B5D" w:rsidRDefault="00000000" w:rsidP="00F31B5D">
                  <w:pPr>
                    <w:widowControl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b/>
                    </w:rPr>
                    <w:t>Tratamiento</w:t>
                  </w:r>
                </w:p>
              </w:tc>
              <w:tc>
                <w:tcPr>
                  <w:tcW w:w="1959" w:type="dxa"/>
                  <w:tcBorders>
                    <w:top w:val="single" w:sz="5" w:space="0" w:color="000000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AE58417" w14:textId="77777777" w:rsidR="00E24D44" w:rsidRPr="00F31B5D" w:rsidRDefault="00000000" w:rsidP="00F31B5D">
                  <w:pPr>
                    <w:widowControl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b/>
                    </w:rPr>
                    <w:t>Tipo de escarificación</w:t>
                  </w:r>
                </w:p>
              </w:tc>
              <w:tc>
                <w:tcPr>
                  <w:tcW w:w="2207" w:type="dxa"/>
                  <w:tcBorders>
                    <w:top w:val="single" w:sz="5" w:space="0" w:color="000000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2093986" w14:textId="77777777" w:rsidR="00E24D44" w:rsidRPr="00F31B5D" w:rsidRDefault="00000000" w:rsidP="00F31B5D">
                  <w:pPr>
                    <w:widowControl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b/>
                    </w:rPr>
                    <w:t>Descripción operativa*</w:t>
                  </w:r>
                </w:p>
              </w:tc>
              <w:tc>
                <w:tcPr>
                  <w:tcW w:w="2207" w:type="dxa"/>
                  <w:tcBorders>
                    <w:top w:val="single" w:sz="5" w:space="0" w:color="000000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6F0BB58" w14:textId="77777777" w:rsidR="00E24D44" w:rsidRPr="00F31B5D" w:rsidRDefault="00000000" w:rsidP="00F31B5D">
                  <w:pPr>
                    <w:widowControl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b/>
                    </w:rPr>
                    <w:t>n (réplicas)</w:t>
                  </w:r>
                </w:p>
              </w:tc>
            </w:tr>
            <w:tr w:rsidR="00E24D44" w:rsidRPr="00F31B5D" w14:paraId="5A750442" w14:textId="77777777" w:rsidTr="00013CC5">
              <w:tc>
                <w:tcPr>
                  <w:tcW w:w="2456" w:type="dxa"/>
                  <w:tcBorders>
                    <w:top w:val="single" w:sz="5" w:space="0" w:color="CCCCCC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6338A66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b/>
                    </w:rPr>
                    <w:t>Lija</w:t>
                  </w:r>
                </w:p>
              </w:tc>
              <w:tc>
                <w:tcPr>
                  <w:tcW w:w="1959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2515F91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Física (abrasiva)</w:t>
                  </w:r>
                </w:p>
              </w:tc>
              <w:tc>
                <w:tcPr>
                  <w:tcW w:w="2207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6CC28D2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Frotar la testa opuesta al embrión durante 10 s hasta exponer la capa clara</w:t>
                  </w:r>
                </w:p>
              </w:tc>
              <w:tc>
                <w:tcPr>
                  <w:tcW w:w="2207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146F6C0" w14:textId="77777777" w:rsidR="00E24D44" w:rsidRPr="00F31B5D" w:rsidRDefault="00000000" w:rsidP="00F31B5D">
                  <w:pPr>
                    <w:widowControl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</w:tc>
            </w:tr>
            <w:tr w:rsidR="00E24D44" w:rsidRPr="00F31B5D" w14:paraId="6514E078" w14:textId="77777777" w:rsidTr="00013CC5">
              <w:tc>
                <w:tcPr>
                  <w:tcW w:w="2456" w:type="dxa"/>
                  <w:tcBorders>
                    <w:top w:val="single" w:sz="5" w:space="0" w:color="CCCCCC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56313004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b/>
                    </w:rPr>
                    <w:t>Acetona</w:t>
                  </w:r>
                </w:p>
              </w:tc>
              <w:tc>
                <w:tcPr>
                  <w:tcW w:w="1959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80BF3B4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Química</w:t>
                  </w:r>
                </w:p>
              </w:tc>
              <w:tc>
                <w:tcPr>
                  <w:tcW w:w="2207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D910999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Inmersión en acetona pura (25 °C) durante 10 min; secar al aire 5 min</w:t>
                  </w:r>
                </w:p>
              </w:tc>
              <w:tc>
                <w:tcPr>
                  <w:tcW w:w="2207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029F7D2" w14:textId="77777777" w:rsidR="00E24D44" w:rsidRPr="00F31B5D" w:rsidRDefault="00000000" w:rsidP="00F31B5D">
                  <w:pPr>
                    <w:widowControl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</w:tc>
            </w:tr>
            <w:tr w:rsidR="00E24D44" w:rsidRPr="00F31B5D" w14:paraId="0E5D0516" w14:textId="77777777" w:rsidTr="00013CC5">
              <w:tc>
                <w:tcPr>
                  <w:tcW w:w="2456" w:type="dxa"/>
                  <w:tcBorders>
                    <w:top w:val="single" w:sz="5" w:space="0" w:color="CCCCCC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CF449BD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b/>
                    </w:rPr>
                    <w:t>Agua caliente</w:t>
                  </w:r>
                </w:p>
              </w:tc>
              <w:tc>
                <w:tcPr>
                  <w:tcW w:w="1959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2BDC055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Térmica</w:t>
                  </w:r>
                </w:p>
              </w:tc>
              <w:tc>
                <w:tcPr>
                  <w:tcW w:w="2207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48873A3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Inmersión en agua a 80 °C durante 5 min; enfriado rápido a 25 °C</w:t>
                  </w:r>
                </w:p>
              </w:tc>
              <w:tc>
                <w:tcPr>
                  <w:tcW w:w="2207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1C930AC" w14:textId="77777777" w:rsidR="00E24D44" w:rsidRPr="00F31B5D" w:rsidRDefault="00000000" w:rsidP="00F31B5D">
                  <w:pPr>
                    <w:widowControl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</w:tc>
            </w:tr>
            <w:tr w:rsidR="00E24D44" w:rsidRPr="00F31B5D" w14:paraId="40FFDD58" w14:textId="77777777" w:rsidTr="00013CC5">
              <w:tc>
                <w:tcPr>
                  <w:tcW w:w="2456" w:type="dxa"/>
                  <w:tcBorders>
                    <w:top w:val="single" w:sz="5" w:space="0" w:color="CCCCCC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198E53A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b/>
                    </w:rPr>
                    <w:t>Control</w:t>
                  </w:r>
                </w:p>
              </w:tc>
              <w:tc>
                <w:tcPr>
                  <w:tcW w:w="1959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19E9972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—</w:t>
                  </w:r>
                </w:p>
              </w:tc>
              <w:tc>
                <w:tcPr>
                  <w:tcW w:w="2207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C7166CF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Semillas intactas, sin escarificación</w:t>
                  </w:r>
                </w:p>
              </w:tc>
              <w:tc>
                <w:tcPr>
                  <w:tcW w:w="2207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581D61C" w14:textId="77777777" w:rsidR="00E24D44" w:rsidRPr="00F31B5D" w:rsidRDefault="00000000" w:rsidP="00F31B5D">
                  <w:pPr>
                    <w:widowControl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</w:tc>
            </w:tr>
          </w:tbl>
          <w:p w14:paraId="32DB4566" w14:textId="77777777" w:rsidR="00E24D44" w:rsidRPr="00F31B5D" w:rsidRDefault="00E24D44" w:rsidP="00F31B5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021806" w14:textId="3DB8FA1F" w:rsidR="00E24D44" w:rsidRPr="00F31B5D" w:rsidRDefault="00000000" w:rsidP="00F31B5D">
            <w:pPr>
              <w:pStyle w:val="Ttulo3"/>
              <w:keepNext w:val="0"/>
              <w:keepLines w:val="0"/>
              <w:numPr>
                <w:ilvl w:val="0"/>
                <w:numId w:val="9"/>
              </w:numPr>
              <w:spacing w:before="28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5" w:name="_mb9osmc17vzc" w:colFirst="0" w:colLast="0"/>
            <w:bookmarkEnd w:id="5"/>
            <w:r w:rsidRPr="00F31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Condiciones de incubación</w:t>
            </w:r>
          </w:p>
          <w:p w14:paraId="686059F8" w14:textId="77777777" w:rsidR="00E24D44" w:rsidRPr="00F31B5D" w:rsidRDefault="00000000" w:rsidP="00F31B5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Las unidades experimentales (táperes) se almacenaron en una habitación a temperatura ambiente de 24 ± 2 °C y humedad relativa aproximada del 60 ± 5 %, sin iluminación directa. Estas condiciones reproducen un ambiente estándar de laboratorio y se mantienen dentro del rango aceptado para ensayos de germinación de pulses (ISTA, 2025).</w:t>
            </w:r>
          </w:p>
          <w:p w14:paraId="53687D59" w14:textId="75BC847C" w:rsidR="00E24D44" w:rsidRPr="00F31B5D" w:rsidRDefault="00000000" w:rsidP="00F31B5D">
            <w:pPr>
              <w:pStyle w:val="Ttulo2"/>
              <w:keepNext w:val="0"/>
              <w:keepLines w:val="0"/>
              <w:numPr>
                <w:ilvl w:val="0"/>
                <w:numId w:val="7"/>
              </w:numPr>
              <w:spacing w:after="8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bookmarkStart w:id="6" w:name="_qb24w7ov68bo" w:colFirst="0" w:colLast="0"/>
            <w:bookmarkEnd w:id="6"/>
            <w:r w:rsidRPr="00F31B5D">
              <w:rPr>
                <w:rFonts w:ascii="Times New Roman" w:eastAsia="Times New Roman" w:hAnsi="Times New Roman" w:cs="Times New Roman"/>
                <w:b/>
              </w:rPr>
              <w:t>M</w:t>
            </w:r>
            <w:r w:rsidR="00506479" w:rsidRPr="00F31B5D">
              <w:rPr>
                <w:rFonts w:ascii="Times New Roman" w:eastAsia="Times New Roman" w:hAnsi="Times New Roman" w:cs="Times New Roman"/>
                <w:b/>
              </w:rPr>
              <w:t>etodología</w:t>
            </w:r>
          </w:p>
          <w:p w14:paraId="6A9D9BA4" w14:textId="165ECB0F" w:rsidR="00E24D44" w:rsidRPr="00F31B5D" w:rsidRDefault="00000000" w:rsidP="00F31B5D">
            <w:pPr>
              <w:pStyle w:val="Ttulo3"/>
              <w:keepNext w:val="0"/>
              <w:keepLines w:val="0"/>
              <w:numPr>
                <w:ilvl w:val="0"/>
                <w:numId w:val="10"/>
              </w:numPr>
              <w:spacing w:before="28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7" w:name="_wpjhawqmth0n" w:colFirst="0" w:colLast="0"/>
            <w:bookmarkEnd w:id="7"/>
            <w:r w:rsidRPr="00F31B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Diseño experimental</w:t>
            </w:r>
          </w:p>
          <w:p w14:paraId="3B68DA64" w14:textId="77777777" w:rsidR="00E24D44" w:rsidRPr="00F31B5D" w:rsidRDefault="00000000" w:rsidP="00F31B5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 aplicó un diseño completamente al azar (DCA) con 4 tratamientos (Lija, Acetona, Agua caliente, Control) × 5 repeticiones.</w:t>
            </w: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Cada repetición consistió en un táper de 250 </w:t>
            </w:r>
            <w:proofErr w:type="spellStart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mL</w:t>
            </w:r>
            <w:proofErr w:type="spellEnd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25 semillas, lo que totalizó 500 semillas (4 × 5 × 25).</w:t>
            </w:r>
          </w:p>
          <w:p w14:paraId="408EF2D0" w14:textId="2AE911DC" w:rsidR="00E24D44" w:rsidRPr="00F31B5D" w:rsidRDefault="00000000" w:rsidP="00F31B5D">
            <w:pPr>
              <w:pStyle w:val="Ttulo3"/>
              <w:keepNext w:val="0"/>
              <w:keepLines w:val="0"/>
              <w:numPr>
                <w:ilvl w:val="0"/>
                <w:numId w:val="10"/>
              </w:numPr>
              <w:spacing w:before="28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8" w:name="_ybo30ifg43y7" w:colFirst="0" w:colLast="0"/>
            <w:bookmarkEnd w:id="8"/>
            <w:r w:rsidRPr="00F31B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Siembra y condiciones de incubación</w:t>
            </w:r>
          </w:p>
          <w:p w14:paraId="4705F027" w14:textId="139E8E14" w:rsidR="00E24D44" w:rsidRPr="00F31B5D" w:rsidRDefault="00000000" w:rsidP="00F31B5D">
            <w:pPr>
              <w:numPr>
                <w:ilvl w:val="0"/>
                <w:numId w:val="1"/>
              </w:num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colocaron dos láminas de papel toalla humedecido (2,5 </w:t>
            </w:r>
            <w:proofErr w:type="spellStart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mL</w:t>
            </w:r>
            <w:proofErr w:type="spellEnd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H₂O destilada) en cada táper.</w:t>
            </w:r>
          </w:p>
          <w:p w14:paraId="49DAD2CC" w14:textId="44BD4239" w:rsidR="00E24D44" w:rsidRPr="00F31B5D" w:rsidRDefault="00000000" w:rsidP="00F31B5D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Los táperes se dispusieron en una habitación a temperatura ambiente (24 ± 2 °C; 60 ± 5 % HR) y oscuridad constante durante cinco días.</w:t>
            </w:r>
          </w:p>
          <w:p w14:paraId="233382A4" w14:textId="64AFF91C" w:rsidR="00E24D44" w:rsidRPr="00F31B5D" w:rsidRDefault="00000000" w:rsidP="00F31B5D">
            <w:pPr>
              <w:numPr>
                <w:ilvl w:val="0"/>
                <w:numId w:val="1"/>
              </w:num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La humedad del sustrato se mantuvo con pulverizaciones diarias (≈ 1 </w:t>
            </w:r>
            <w:proofErr w:type="spellStart"/>
            <w:r w:rsidRPr="00F31B5D">
              <w:rPr>
                <w:rFonts w:ascii="Times New Roman" w:eastAsia="Gungsuh" w:hAnsi="Times New Roman" w:cs="Times New Roman"/>
                <w:sz w:val="24"/>
                <w:szCs w:val="24"/>
              </w:rPr>
              <w:t>mL</w:t>
            </w:r>
            <w:proofErr w:type="spellEnd"/>
            <w:r w:rsidRPr="00F31B5D">
              <w:rPr>
                <w:rFonts w:ascii="Times New Roman" w:eastAsia="Gungsuh" w:hAnsi="Times New Roman" w:cs="Times New Roman"/>
                <w:sz w:val="24"/>
                <w:szCs w:val="24"/>
              </w:rPr>
              <w:t>) según los criterios ISTA (2025).</w:t>
            </w:r>
          </w:p>
          <w:p w14:paraId="0A279CA2" w14:textId="6D37F2B6" w:rsidR="00E24D44" w:rsidRPr="00F31B5D" w:rsidRDefault="00000000" w:rsidP="00F31B5D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 evaluadas</w:t>
            </w:r>
          </w:p>
          <w:tbl>
            <w:tblPr>
              <w:tblStyle w:val="a2"/>
              <w:tblW w:w="8829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3165"/>
              <w:gridCol w:w="1250"/>
              <w:gridCol w:w="2207"/>
              <w:gridCol w:w="2207"/>
            </w:tblGrid>
            <w:tr w:rsidR="00E24D44" w:rsidRPr="00F31B5D" w14:paraId="1F38E48A" w14:textId="77777777" w:rsidTr="009E07DD">
              <w:tc>
                <w:tcPr>
                  <w:tcW w:w="31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CB0982B" w14:textId="2085A2B5" w:rsidR="00E24D44" w:rsidRPr="00F31B5D" w:rsidRDefault="00000000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9" w:name="puz0iz7yamke" w:colFirst="0" w:colLast="0"/>
                  <w:bookmarkEnd w:id="9"/>
                  <w:r w:rsidRPr="00013CC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2:</w:t>
                  </w:r>
                  <w:r w:rsidRPr="00F31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E07D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Variables</w:t>
                  </w:r>
                  <w:r w:rsidR="00013CC5" w:rsidRPr="009E07D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9E07D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evaluadas</w:t>
                  </w:r>
                </w:p>
              </w:tc>
              <w:tc>
                <w:tcPr>
                  <w:tcW w:w="12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DCA6EA2" w14:textId="77777777" w:rsidR="00E24D44" w:rsidRPr="00F31B5D" w:rsidRDefault="00E24D44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A02FB7E" w14:textId="77777777" w:rsidR="00E24D44" w:rsidRPr="00F31B5D" w:rsidRDefault="00E24D44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0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76E4EB" w14:textId="77777777" w:rsidR="00E24D44" w:rsidRPr="00F31B5D" w:rsidRDefault="00E24D44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24D44" w:rsidRPr="00F31B5D" w14:paraId="027775D8" w14:textId="77777777" w:rsidTr="009E07DD">
              <w:tc>
                <w:tcPr>
                  <w:tcW w:w="316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64A43B73" w14:textId="77777777" w:rsidR="00E24D44" w:rsidRPr="00F31B5D" w:rsidRDefault="00000000" w:rsidP="00F31B5D">
                  <w:pPr>
                    <w:widowControl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b/>
                    </w:rPr>
                    <w:t>Variable</w:t>
                  </w:r>
                </w:p>
              </w:tc>
              <w:tc>
                <w:tcPr>
                  <w:tcW w:w="1250" w:type="dxa"/>
                  <w:tcBorders>
                    <w:top w:val="single" w:sz="5" w:space="0" w:color="000000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B89A943" w14:textId="77777777" w:rsidR="00E24D44" w:rsidRPr="00F31B5D" w:rsidRDefault="00000000" w:rsidP="00F31B5D">
                  <w:pPr>
                    <w:widowControl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b/>
                    </w:rPr>
                    <w:t>Cálculo</w:t>
                  </w:r>
                </w:p>
              </w:tc>
              <w:tc>
                <w:tcPr>
                  <w:tcW w:w="2207" w:type="dxa"/>
                  <w:tcBorders>
                    <w:top w:val="single" w:sz="5" w:space="0" w:color="000000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B2F13D5" w14:textId="77777777" w:rsidR="00E24D44" w:rsidRPr="00F31B5D" w:rsidRDefault="00000000" w:rsidP="00F31B5D">
                  <w:pPr>
                    <w:widowControl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b/>
                    </w:rPr>
                    <w:t>Día(s) de toma</w:t>
                  </w:r>
                </w:p>
              </w:tc>
              <w:tc>
                <w:tcPr>
                  <w:tcW w:w="2207" w:type="dxa"/>
                  <w:tcBorders>
                    <w:top w:val="single" w:sz="5" w:space="0" w:color="000000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8189777" w14:textId="77777777" w:rsidR="00E24D44" w:rsidRPr="00F31B5D" w:rsidRDefault="00000000" w:rsidP="00F31B5D">
                  <w:pPr>
                    <w:widowControl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b/>
                    </w:rPr>
                    <w:t>Significado</w:t>
                  </w:r>
                </w:p>
              </w:tc>
            </w:tr>
            <w:tr w:rsidR="00E24D44" w:rsidRPr="00F31B5D" w14:paraId="3C3E6B5D" w14:textId="77777777" w:rsidTr="009E07DD">
              <w:tc>
                <w:tcPr>
                  <w:tcW w:w="3165" w:type="dxa"/>
                  <w:tcBorders>
                    <w:top w:val="single" w:sz="5" w:space="0" w:color="CCCCCC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BF08921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b/>
                    </w:rPr>
                    <w:t>Conteo diario (d0–d5)</w:t>
                  </w:r>
                </w:p>
              </w:tc>
              <w:tc>
                <w:tcPr>
                  <w:tcW w:w="1250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5C99088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Gungsuh" w:hAnsi="Times New Roman" w:cs="Times New Roman"/>
                    </w:rPr>
                    <w:t xml:space="preserve">Número acumulado de semillas con radícula ≥ 2 </w:t>
                  </w:r>
                  <w:proofErr w:type="spellStart"/>
                  <w:r w:rsidRPr="00F31B5D">
                    <w:rPr>
                      <w:rFonts w:ascii="Times New Roman" w:eastAsia="Gungsuh" w:hAnsi="Times New Roman" w:cs="Times New Roman"/>
                    </w:rPr>
                    <w:t>mm.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70BA7E35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0, 1, 2, 3, 4, 5</w:t>
                  </w:r>
                </w:p>
              </w:tc>
              <w:tc>
                <w:tcPr>
                  <w:tcW w:w="2207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D889810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Datos base para todas las métricas.</w:t>
                  </w:r>
                </w:p>
              </w:tc>
            </w:tr>
            <w:tr w:rsidR="00E24D44" w:rsidRPr="00F31B5D" w14:paraId="5C0E81F4" w14:textId="77777777" w:rsidTr="009E07DD">
              <w:tc>
                <w:tcPr>
                  <w:tcW w:w="3165" w:type="dxa"/>
                  <w:tcBorders>
                    <w:top w:val="single" w:sz="5" w:space="0" w:color="CCCCCC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1A9A88D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b/>
                    </w:rPr>
                    <w:t>% de germinación final</w:t>
                  </w:r>
                </w:p>
              </w:tc>
              <w:tc>
                <w:tcPr>
                  <w:tcW w:w="1250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4B3F3EE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(Germinadas / 25) × 100</w:t>
                  </w:r>
                </w:p>
              </w:tc>
              <w:tc>
                <w:tcPr>
                  <w:tcW w:w="2207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6A1A89C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d5</w:t>
                  </w:r>
                </w:p>
              </w:tc>
              <w:tc>
                <w:tcPr>
                  <w:tcW w:w="2207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2CE3686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Eficacia absoluta del tratamiento.</w:t>
                  </w:r>
                </w:p>
              </w:tc>
            </w:tr>
            <w:tr w:rsidR="00E24D44" w:rsidRPr="00F31B5D" w14:paraId="2D18DE54" w14:textId="77777777" w:rsidTr="009E07DD">
              <w:tc>
                <w:tcPr>
                  <w:tcW w:w="3165" w:type="dxa"/>
                  <w:tcBorders>
                    <w:top w:val="single" w:sz="5" w:space="0" w:color="CCCCCC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39C4E39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b/>
                    </w:rPr>
                    <w:t>Tiempo medio de germinación (MGT)</w:t>
                  </w:r>
                </w:p>
              </w:tc>
              <w:tc>
                <w:tcPr>
                  <w:tcW w:w="1250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E71BFB8" w14:textId="77777777" w:rsidR="00E24D44" w:rsidRPr="00F31B5D" w:rsidRDefault="00E24D44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207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3CD4B59C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d0–d5</w:t>
                  </w:r>
                </w:p>
              </w:tc>
              <w:tc>
                <w:tcPr>
                  <w:tcW w:w="2207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4747EB40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 xml:space="preserve">Rapidez de emergencia (Dayan &amp; </w:t>
                  </w:r>
                  <w:proofErr w:type="spellStart"/>
                  <w:r w:rsidRPr="00F31B5D">
                    <w:rPr>
                      <w:rFonts w:ascii="Times New Roman" w:eastAsia="Times New Roman" w:hAnsi="Times New Roman" w:cs="Times New Roman"/>
                    </w:rPr>
                    <w:t>Gutterman</w:t>
                  </w:r>
                  <w:proofErr w:type="spellEnd"/>
                  <w:r w:rsidRPr="00F31B5D">
                    <w:rPr>
                      <w:rFonts w:ascii="Times New Roman" w:eastAsia="Times New Roman" w:hAnsi="Times New Roman" w:cs="Times New Roman"/>
                    </w:rPr>
                    <w:t>, 2019).</w:t>
                  </w:r>
                </w:p>
              </w:tc>
            </w:tr>
            <w:tr w:rsidR="00E24D44" w:rsidRPr="00F31B5D" w14:paraId="58AD2685" w14:textId="77777777" w:rsidTr="009E07DD">
              <w:tc>
                <w:tcPr>
                  <w:tcW w:w="3165" w:type="dxa"/>
                  <w:tcBorders>
                    <w:top w:val="single" w:sz="5" w:space="0" w:color="CCCCCC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E15FB75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b/>
                    </w:rPr>
                    <w:t>Índice de velocidad de germinación (IVG)</w:t>
                  </w:r>
                </w:p>
              </w:tc>
              <w:tc>
                <w:tcPr>
                  <w:tcW w:w="1250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1C5C8129" w14:textId="77777777" w:rsidR="00E24D44" w:rsidRPr="00F31B5D" w:rsidRDefault="00E24D44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207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23D3CA94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d0–d5</w:t>
                  </w:r>
                </w:p>
              </w:tc>
              <w:tc>
                <w:tcPr>
                  <w:tcW w:w="2207" w:type="dxa"/>
                  <w:tcBorders>
                    <w:top w:val="single" w:sz="5" w:space="0" w:color="CCCCCC"/>
                    <w:left w:val="single" w:sz="5" w:space="0" w:color="CCCCCC"/>
                    <w:bottom w:val="single" w:sz="5" w:space="0" w:color="000000"/>
                    <w:right w:val="single" w:sz="5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14:paraId="0F0F4A96" w14:textId="77777777" w:rsidR="00E24D44" w:rsidRPr="00F31B5D" w:rsidRDefault="00000000" w:rsidP="00F31B5D">
                  <w:pPr>
                    <w:widowControl w:val="0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</w:rPr>
                    <w:t>Velocidad relativa (Maguire, 1962).</w:t>
                  </w:r>
                </w:p>
              </w:tc>
            </w:tr>
          </w:tbl>
          <w:p w14:paraId="05ABA7D8" w14:textId="77777777" w:rsidR="00E24D44" w:rsidRPr="00F31B5D" w:rsidRDefault="00E24D44" w:rsidP="00F31B5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52AFAF" w14:textId="156AB725" w:rsidR="00E24D44" w:rsidRPr="00013CC5" w:rsidRDefault="00000000" w:rsidP="00013CC5">
            <w:pPr>
              <w:pStyle w:val="Prrafodelista"/>
              <w:numPr>
                <w:ilvl w:val="0"/>
                <w:numId w:val="10"/>
              </w:num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13C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Análisis estadístico</w:t>
            </w:r>
          </w:p>
          <w:p w14:paraId="7FF042EA" w14:textId="77777777" w:rsidR="00013CC5" w:rsidRPr="00013CC5" w:rsidRDefault="00000000" w:rsidP="00013CC5">
            <w:pPr>
              <w:pStyle w:val="Prrafodelista"/>
              <w:numPr>
                <w:ilvl w:val="0"/>
                <w:numId w:val="11"/>
              </w:num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Se emplearon las funciones </w:t>
            </w:r>
            <w:proofErr w:type="spellStart"/>
            <w:r w:rsidRPr="00013CC5">
              <w:rPr>
                <w:rFonts w:ascii="Times New Roman" w:eastAsia="Courier New" w:hAnsi="Times New Roman" w:cs="Times New Roman"/>
                <w:sz w:val="20"/>
                <w:szCs w:val="20"/>
              </w:rPr>
              <w:t>ger_</w:t>
            </w:r>
            <w:proofErr w:type="gramStart"/>
            <w:r w:rsidRPr="00013CC5">
              <w:rPr>
                <w:rFonts w:ascii="Times New Roman" w:eastAsia="Courier New" w:hAnsi="Times New Roman" w:cs="Times New Roman"/>
                <w:sz w:val="20"/>
                <w:szCs w:val="20"/>
              </w:rPr>
              <w:t>summary</w:t>
            </w:r>
            <w:proofErr w:type="spellEnd"/>
            <w:r w:rsidRPr="00013CC5">
              <w:rPr>
                <w:rFonts w:ascii="Times New Roman" w:eastAsia="Courier New" w:hAnsi="Times New Roman" w:cs="Times New Roman"/>
                <w:sz w:val="20"/>
                <w:szCs w:val="20"/>
              </w:rPr>
              <w:t>(</w:t>
            </w:r>
            <w:proofErr w:type="gramEnd"/>
            <w:r w:rsidRPr="00013CC5">
              <w:rPr>
                <w:rFonts w:ascii="Times New Roman" w:eastAsia="Courier New" w:hAnsi="Times New Roman" w:cs="Times New Roman"/>
                <w:sz w:val="20"/>
                <w:szCs w:val="20"/>
              </w:rPr>
              <w:t>)</w:t>
            </w: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3C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</w:t>
            </w: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3CC5">
              <w:rPr>
                <w:rFonts w:ascii="Times New Roman" w:eastAsia="Courier New" w:hAnsi="Times New Roman" w:cs="Times New Roman"/>
                <w:sz w:val="20"/>
                <w:szCs w:val="20"/>
              </w:rPr>
              <w:t>ger_</w:t>
            </w:r>
            <w:proofErr w:type="gramStart"/>
            <w:r w:rsidRPr="00013CC5">
              <w:rPr>
                <w:rFonts w:ascii="Times New Roman" w:eastAsia="Courier New" w:hAnsi="Times New Roman" w:cs="Times New Roman"/>
                <w:sz w:val="20"/>
                <w:szCs w:val="20"/>
              </w:rPr>
              <w:t>intime</w:t>
            </w:r>
            <w:proofErr w:type="spellEnd"/>
            <w:r w:rsidRPr="00013CC5">
              <w:rPr>
                <w:rFonts w:ascii="Times New Roman" w:eastAsia="Courier New" w:hAnsi="Times New Roman" w:cs="Times New Roman"/>
                <w:sz w:val="20"/>
                <w:szCs w:val="20"/>
              </w:rPr>
              <w:t>(</w:t>
            </w:r>
            <w:proofErr w:type="gramEnd"/>
            <w:r w:rsidRPr="00013CC5">
              <w:rPr>
                <w:rFonts w:ascii="Times New Roman" w:eastAsia="Courier New" w:hAnsi="Times New Roman" w:cs="Times New Roman"/>
                <w:sz w:val="20"/>
                <w:szCs w:val="20"/>
              </w:rPr>
              <w:t>)</w:t>
            </w: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paquete</w:t>
            </w:r>
            <w:r w:rsidRPr="00013C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13CC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GerminaR</w:t>
            </w:r>
            <w:proofErr w:type="spellEnd"/>
            <w:r w:rsidRPr="00013C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(Lozano-Isla, Benites-Alfaro &amp; </w:t>
            </w:r>
            <w:proofErr w:type="spellStart"/>
            <w:r w:rsidRPr="00013C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Pompelli</w:t>
            </w:r>
            <w:proofErr w:type="spellEnd"/>
            <w:r w:rsidRPr="00013C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2019) </w:t>
            </w: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>para obtener el porcentaje final de germinación, el tiempo medio de germinación</w:t>
            </w:r>
            <w:r w:rsidRPr="00013C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(MGT) </w:t>
            </w: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>y el índice de velocidad de germinación</w:t>
            </w:r>
            <w:r w:rsidRPr="00013C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(IVG).</w:t>
            </w:r>
          </w:p>
          <w:p w14:paraId="7F6B7619" w14:textId="77777777" w:rsidR="00013CC5" w:rsidRDefault="00000000" w:rsidP="00013CC5">
            <w:pPr>
              <w:pStyle w:val="Prrafodelista"/>
              <w:numPr>
                <w:ilvl w:val="0"/>
                <w:numId w:val="11"/>
              </w:num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aplicó un </w:t>
            </w:r>
            <w:r w:rsidRPr="00013C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ANOVA de un factor</w:t>
            </w: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(Diseño Completamente al Azar)</w:t>
            </w:r>
          </w:p>
          <w:p w14:paraId="1B67EBCC" w14:textId="77777777" w:rsidR="00013CC5" w:rsidRDefault="00000000" w:rsidP="00013CC5">
            <w:pPr>
              <w:pStyle w:val="Prrafodelista"/>
              <w:numPr>
                <w:ilvl w:val="0"/>
                <w:numId w:val="11"/>
              </w:num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 diferencias significativas se evaluaron con la </w:t>
            </w:r>
            <w:r w:rsidRPr="00013C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prueba </w:t>
            </w:r>
            <w:proofErr w:type="spellStart"/>
            <w:r w:rsidRPr="00013C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  <w:proofErr w:type="spellEnd"/>
            <w:r w:rsidRPr="00013C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–Newman–</w:t>
            </w:r>
            <w:proofErr w:type="spellStart"/>
            <w:r w:rsidRPr="00013C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Keuls</w:t>
            </w:r>
            <w:proofErr w:type="spellEnd"/>
            <w:r w:rsidRPr="00013C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(SNK, α = 0,05)</w:t>
            </w: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mediante </w:t>
            </w:r>
            <w:proofErr w:type="spellStart"/>
            <w:proofErr w:type="gramStart"/>
            <w:r w:rsidRPr="00013CC5">
              <w:rPr>
                <w:rFonts w:ascii="Times New Roman" w:eastAsia="Courier New" w:hAnsi="Times New Roman" w:cs="Times New Roman"/>
                <w:sz w:val="20"/>
                <w:szCs w:val="20"/>
              </w:rPr>
              <w:t>agricolae</w:t>
            </w:r>
            <w:proofErr w:type="spellEnd"/>
            <w:r w:rsidRPr="00013CC5">
              <w:rPr>
                <w:rFonts w:ascii="Times New Roman" w:eastAsia="Courier New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013CC5">
              <w:rPr>
                <w:rFonts w:ascii="Times New Roman" w:eastAsia="Courier New" w:hAnsi="Times New Roman" w:cs="Times New Roman"/>
                <w:sz w:val="20"/>
                <w:szCs w:val="20"/>
              </w:rPr>
              <w:t>SNK.test</w:t>
            </w:r>
            <w:proofErr w:type="spellEnd"/>
            <w:r w:rsidRPr="00013CC5">
              <w:rPr>
                <w:rFonts w:ascii="Times New Roman" w:eastAsia="Courier New" w:hAnsi="Times New Roman" w:cs="Times New Roman"/>
                <w:sz w:val="20"/>
                <w:szCs w:val="20"/>
              </w:rPr>
              <w:t>()</w:t>
            </w: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5FE4EB" w14:textId="77777777" w:rsidR="00013CC5" w:rsidRDefault="00000000" w:rsidP="00013CC5">
            <w:pPr>
              <w:pStyle w:val="Prrafodelista"/>
              <w:numPr>
                <w:ilvl w:val="0"/>
                <w:numId w:val="11"/>
              </w:num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>Normalidad y homocedasticidad se verificaron con gráficas Q–Q y residuales vs. ajustados (</w:t>
            </w:r>
            <w:r w:rsidRPr="00013CC5">
              <w:rPr>
                <w:rFonts w:ascii="Times New Roman" w:eastAsia="Courier New" w:hAnsi="Times New Roman" w:cs="Times New Roman"/>
                <w:sz w:val="20"/>
                <w:szCs w:val="20"/>
              </w:rPr>
              <w:t>ggplot2</w:t>
            </w: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7D7E569A" w14:textId="33E81614" w:rsidR="00E24D44" w:rsidRPr="00013CC5" w:rsidRDefault="00000000" w:rsidP="00013CC5">
            <w:pPr>
              <w:pStyle w:val="Prrafodelista"/>
              <w:numPr>
                <w:ilvl w:val="0"/>
                <w:numId w:val="11"/>
              </w:num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Todo el análisis se ejecutó en </w:t>
            </w:r>
            <w:r w:rsidRPr="00013C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los paquetes </w:t>
            </w:r>
            <w:proofErr w:type="spellStart"/>
            <w:r w:rsidRPr="00013C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tidyverse</w:t>
            </w:r>
            <w:proofErr w:type="spellEnd"/>
            <w:r w:rsidRPr="00013C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1.3.2</w:t>
            </w: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13C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GerminaR</w:t>
            </w:r>
            <w:proofErr w:type="spellEnd"/>
            <w:r w:rsidRPr="00013C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2.3.1</w:t>
            </w: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13C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agricolae</w:t>
            </w:r>
            <w:proofErr w:type="spellEnd"/>
            <w:r w:rsidRPr="00013C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1.3-7</w:t>
            </w: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r w:rsidRPr="00013C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ggplot2 3.4.4</w:t>
            </w:r>
            <w:r w:rsidRPr="00013CC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2CD4EE7" w14:textId="4113C357" w:rsidR="00E24D44" w:rsidRPr="00013CC5" w:rsidRDefault="00000000" w:rsidP="00F31B5D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013CC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</w:t>
            </w:r>
            <w:r w:rsidR="00506479" w:rsidRPr="00013CC5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esultados</w:t>
            </w:r>
          </w:p>
          <w:p w14:paraId="4958FB2A" w14:textId="3C6F2F9A" w:rsidR="00E24D44" w:rsidRPr="00F31B5D" w:rsidRDefault="00000000" w:rsidP="00F31B5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013CC5"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continuación,</w:t>
            </w: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presentan las salidas gráficas y una breve descripción numérica de los hallazgos:</w:t>
            </w:r>
          </w:p>
          <w:p w14:paraId="75A84ED9" w14:textId="77777777" w:rsidR="00E24D44" w:rsidRPr="00F31B5D" w:rsidRDefault="00000000" w:rsidP="00F31B5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Todos los valores se expresan como </w:t>
            </w:r>
            <w:r w:rsidRPr="00F31B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media ± E.E.</w:t>
            </w: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F31B5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5).</w:t>
            </w:r>
          </w:p>
          <w:p w14:paraId="54E5DDCE" w14:textId="77777777" w:rsidR="00E24D44" w:rsidRPr="00F31B5D" w:rsidRDefault="00000000" w:rsidP="00F31B5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comparación de medias se realizó con la prueba </w:t>
            </w:r>
            <w:r w:rsidRPr="00F31B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SNK (α = 0,05)</w:t>
            </w: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17B1529" w14:textId="331DA589" w:rsidR="00E24D44" w:rsidRPr="00013CC5" w:rsidRDefault="00000000" w:rsidP="00013CC5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Porcentaje final de germinación</w:t>
            </w:r>
          </w:p>
          <w:tbl>
            <w:tblPr>
              <w:tblStyle w:val="a3"/>
              <w:tblW w:w="0" w:type="auto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E24D44" w:rsidRPr="00F31B5D" w14:paraId="003C2248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9E779E5" w14:textId="77777777" w:rsidR="00E24D44" w:rsidRPr="00F31B5D" w:rsidRDefault="00000000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114300" distB="114300" distL="114300" distR="114300" wp14:anchorId="30AEB96C" wp14:editId="3A0C444B">
                        <wp:extent cx="5457825" cy="3111500"/>
                        <wp:effectExtent l="0" t="0" r="0" b="0"/>
                        <wp:docPr id="4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57825" cy="3111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24D44" w:rsidRPr="00F31B5D" w14:paraId="62E803E0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DFBE0B3" w14:textId="77777777" w:rsidR="00E24D44" w:rsidRPr="00F31B5D" w:rsidRDefault="00000000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0" w:name="t7vdwlash64t" w:colFirst="0" w:colLast="0"/>
                  <w:bookmarkEnd w:id="10"/>
                  <w:r w:rsidRPr="00013CC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Figure 1:</w:t>
                  </w:r>
                  <w:r w:rsidRPr="00F31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F31B5D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La lija alcanzó 7,8 ± 0,9 %, superando significativamente al control (4,0 ± 0,8 %) y a los tratamientos con acetona y agua caliente (&lt; 1 %)</w:t>
                  </w:r>
                  <w:r w:rsidRPr="00F31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79E99039" w14:textId="7BD5DBFB" w:rsidR="00E24D44" w:rsidRPr="00013CC5" w:rsidRDefault="00000000" w:rsidP="00013CC5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Índice de velocidad de germinación (IVG)</w:t>
            </w:r>
          </w:p>
          <w:tbl>
            <w:tblPr>
              <w:tblStyle w:val="a4"/>
              <w:tblW w:w="0" w:type="auto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E24D44" w:rsidRPr="00F31B5D" w14:paraId="3AC6BEB0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04ED179" w14:textId="77777777" w:rsidR="00E24D44" w:rsidRPr="00F31B5D" w:rsidRDefault="00000000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114300" distB="114300" distL="114300" distR="114300" wp14:anchorId="03A4C5D8" wp14:editId="6346A5B7">
                        <wp:extent cx="5457825" cy="2921000"/>
                        <wp:effectExtent l="0" t="0" r="0" b="0"/>
                        <wp:docPr id="1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57825" cy="29210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24D44" w:rsidRPr="00F31B5D" w14:paraId="6B7F7A7E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58E3476" w14:textId="77777777" w:rsidR="00E24D44" w:rsidRPr="00F31B5D" w:rsidRDefault="00000000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1" w:name="5ss0xdqix7qe" w:colFirst="0" w:colLast="0"/>
                  <w:bookmarkEnd w:id="11"/>
                  <w:r w:rsidRPr="00013CC5">
                    <w:rPr>
                      <w:rFonts w:ascii="Times New Roman" w:eastAsia="Gungsuh" w:hAnsi="Times New Roman" w:cs="Times New Roman"/>
                      <w:b/>
                      <w:bCs/>
                      <w:sz w:val="24"/>
                      <w:szCs w:val="24"/>
                    </w:rPr>
                    <w:t>Figure 2:</w:t>
                  </w:r>
                  <w:r w:rsidRPr="00F31B5D">
                    <w:rPr>
                      <w:rFonts w:ascii="Times New Roman" w:eastAsia="Gungsuh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E07DD">
                    <w:rPr>
                      <w:rFonts w:ascii="Times New Roman" w:eastAsia="Gungsuh" w:hAnsi="Times New Roman" w:cs="Times New Roman"/>
                      <w:i/>
                      <w:iCs/>
                      <w:sz w:val="24"/>
                      <w:szCs w:val="24"/>
                    </w:rPr>
                    <w:t>El IVG fue mayor en lija (3,9 ± 0,2), seguido del control (3,2 ± 0,3); acetona y agua caliente registraron valores ≤ 0,4.</w:t>
                  </w:r>
                </w:p>
              </w:tc>
            </w:tr>
          </w:tbl>
          <w:p w14:paraId="148B15B5" w14:textId="62D700B7" w:rsidR="00E24D44" w:rsidRPr="00013CC5" w:rsidRDefault="00000000" w:rsidP="00013CC5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Tiempo medio de germinación (MGT)</w:t>
            </w:r>
          </w:p>
          <w:tbl>
            <w:tblPr>
              <w:tblStyle w:val="a5"/>
              <w:tblW w:w="0" w:type="auto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E24D44" w:rsidRPr="00F31B5D" w14:paraId="5EE9B234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6CC83D1" w14:textId="77777777" w:rsidR="00E24D44" w:rsidRPr="00F31B5D" w:rsidRDefault="00000000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114300" distB="114300" distL="114300" distR="114300" wp14:anchorId="28504ACD" wp14:editId="2B5274D6">
                        <wp:extent cx="5457825" cy="2959100"/>
                        <wp:effectExtent l="0" t="0" r="0" b="0"/>
                        <wp:docPr id="5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57825" cy="29591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24D44" w:rsidRPr="00F31B5D" w14:paraId="619BC2ED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6666775" w14:textId="77777777" w:rsidR="00E24D44" w:rsidRPr="00F31B5D" w:rsidRDefault="00000000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2" w:name="pir2ybstsr12" w:colFirst="0" w:colLast="0"/>
                  <w:bookmarkEnd w:id="12"/>
                  <w:r w:rsidRPr="00013CC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Figure 3:</w:t>
                  </w:r>
                  <w:r w:rsidRPr="00F31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E07D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Lija y control mostraron el menor MGT (~ 2,6–2,7 días), mientras que agua caliente retardó la germinación a 3,6 ± 0,4 días.</w:t>
                  </w:r>
                </w:p>
              </w:tc>
            </w:tr>
          </w:tbl>
          <w:p w14:paraId="2F91EC9E" w14:textId="7008AF56" w:rsidR="00E24D44" w:rsidRPr="00013CC5" w:rsidRDefault="00000000" w:rsidP="00013CC5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Dinámica acumulada de germinación (0 – 5 días)</w:t>
            </w:r>
          </w:p>
          <w:tbl>
            <w:tblPr>
              <w:tblStyle w:val="a6"/>
              <w:tblW w:w="0" w:type="auto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E24D44" w:rsidRPr="00F31B5D" w14:paraId="0BBD7223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C2F402B" w14:textId="77777777" w:rsidR="00E24D44" w:rsidRPr="00F31B5D" w:rsidRDefault="00000000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114300" distB="114300" distL="114300" distR="114300" wp14:anchorId="155911D5" wp14:editId="150DD4ED">
                        <wp:extent cx="5457825" cy="3111500"/>
                        <wp:effectExtent l="0" t="0" r="0" b="0"/>
                        <wp:docPr id="3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57825" cy="3111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24D44" w:rsidRPr="00F31B5D" w14:paraId="3FAF5B7A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DD06B3F" w14:textId="77777777" w:rsidR="00E24D44" w:rsidRPr="00F31B5D" w:rsidRDefault="00000000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3" w:name="9benofid2b3t" w:colFirst="0" w:colLast="0"/>
                  <w:bookmarkEnd w:id="13"/>
                  <w:r w:rsidRPr="00013CC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Figure 4:</w:t>
                  </w:r>
                  <w:r w:rsidRPr="00F31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E07D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 partir del día 2, la lija superó el 55 % acumulado y alcanzó 80 % al día 3; el control llegó a 65 % al día 5, mientras que los otros tratamientos no sobrepasaron el 10 %.</w:t>
                  </w:r>
                </w:p>
              </w:tc>
            </w:tr>
          </w:tbl>
          <w:p w14:paraId="45554072" w14:textId="565B7901" w:rsidR="00E24D44" w:rsidRPr="00013CC5" w:rsidRDefault="00000000" w:rsidP="00013CC5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3C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Diagnóstico de supuestos (ANOVA)</w:t>
            </w:r>
          </w:p>
          <w:tbl>
            <w:tblPr>
              <w:tblStyle w:val="a7"/>
              <w:tblW w:w="0" w:type="auto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E24D44" w:rsidRPr="00F31B5D" w14:paraId="05B6CCC4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296292E" w14:textId="77777777" w:rsidR="00E24D44" w:rsidRPr="00F31B5D" w:rsidRDefault="00000000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1B5D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114300" distB="114300" distL="114300" distR="114300" wp14:anchorId="4EAE3295" wp14:editId="0BD75799">
                        <wp:extent cx="5457825" cy="2933700"/>
                        <wp:effectExtent l="0" t="0" r="0" b="0"/>
                        <wp:docPr id="2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57825" cy="29337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24D44" w:rsidRPr="00F31B5D" w14:paraId="5B776F51" w14:textId="77777777">
              <w:tc>
                <w:tcPr>
                  <w:tcW w:w="88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0DA22D7" w14:textId="77777777" w:rsidR="00E24D44" w:rsidRPr="00F31B5D" w:rsidRDefault="00000000" w:rsidP="00F31B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4" w:name="5lgk0wdunvlj" w:colFirst="0" w:colLast="0"/>
                  <w:bookmarkEnd w:id="14"/>
                  <w:r w:rsidRPr="00013CC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Figure 5:</w:t>
                  </w:r>
                  <w:r w:rsidRPr="00F31B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E07D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Los residuales se distribuyen aproximadamente de forma normal y presentan varianzas homogéneas, validando la aplicación del ANOVA en un diseño completamente al azar.</w:t>
                  </w:r>
                </w:p>
              </w:tc>
            </w:tr>
          </w:tbl>
          <w:p w14:paraId="0FF64EC5" w14:textId="071A8E22" w:rsidR="00E24D44" w:rsidRPr="00F31B5D" w:rsidRDefault="00000000" w:rsidP="00013CC5">
            <w:pPr>
              <w:pStyle w:val="Ttulo2"/>
              <w:keepNext w:val="0"/>
              <w:keepLines w:val="0"/>
              <w:numPr>
                <w:ilvl w:val="0"/>
                <w:numId w:val="7"/>
              </w:numPr>
              <w:spacing w:after="80" w:line="360" w:lineRule="auto"/>
              <w:jc w:val="both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bookmarkStart w:id="15" w:name="_x06ium92i6ji" w:colFirst="0" w:colLast="0"/>
            <w:bookmarkEnd w:id="15"/>
            <w:r w:rsidRPr="00F31B5D"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lastRenderedPageBreak/>
              <w:t>DISCUSIÓN</w:t>
            </w:r>
          </w:p>
          <w:p w14:paraId="773894F5" w14:textId="4BE1DA29" w:rsidR="00E24D44" w:rsidRPr="00013CC5" w:rsidRDefault="00000000" w:rsidP="00013CC5">
            <w:pPr>
              <w:pStyle w:val="Ttulo3"/>
              <w:keepNext w:val="0"/>
              <w:keepLines w:val="0"/>
              <w:numPr>
                <w:ilvl w:val="0"/>
                <w:numId w:val="9"/>
              </w:numPr>
              <w:spacing w:before="28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6" w:name="_jkb44v4es2pk" w:colFirst="0" w:colLast="0"/>
            <w:bookmarkEnd w:id="16"/>
            <w:r w:rsidRPr="00013CC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Eficacia relativa de los métodos de escarificación</w:t>
            </w:r>
          </w:p>
          <w:p w14:paraId="50B78073" w14:textId="77777777" w:rsidR="00E24D44" w:rsidRPr="00F31B5D" w:rsidRDefault="00000000" w:rsidP="00F31B5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tratamiento Lija superó de forma consistente al resto de métodos en las tres métricas evaluadas. Aunque el porcentaje final de germinación fue bajo en términos absolutos (7,8 %, </w:t>
            </w:r>
            <w:r w:rsidRPr="00605C5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Figura 1</w:t>
            </w: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), duplicó al del Control y multiplicó por ocho los valores de Acetona y Agua caliente. Este resultado es coherente con la literatura que señala la abrasión mecánica como la vía más fiable para romper la testa endurecida de leguminosas (</w:t>
            </w:r>
            <w:proofErr w:type="spellStart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Wen</w:t>
            </w:r>
            <w:proofErr w:type="spellEnd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al., 2024). El lijado crea microfracturas localizadas y facilita la imbibición sin exponer completamente al embrión a estrés químico o térmico (</w:t>
            </w:r>
            <w:proofErr w:type="spellStart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Bewley</w:t>
            </w:r>
            <w:proofErr w:type="spellEnd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Black, 1994).</w:t>
            </w:r>
          </w:p>
          <w:p w14:paraId="2AC7A8F3" w14:textId="77777777" w:rsidR="00E24D44" w:rsidRPr="00F31B5D" w:rsidRDefault="00000000" w:rsidP="00F31B5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Acetona no mejoró la germinación. </w:t>
            </w:r>
            <w:proofErr w:type="spellStart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Kader</w:t>
            </w:r>
            <w:proofErr w:type="spellEnd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Hosseini (2020) mostraron que solventes orgánicos pueden ser efectivos en </w:t>
            </w:r>
            <w:r w:rsidRPr="00F31B5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Lens</w:t>
            </w: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r w:rsidRPr="00F31B5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Vigna</w:t>
            </w:r>
            <w:r w:rsidRPr="00F31B5D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cuando se ajusta el tiempo de inmersión; sin embargo, exposiciones moderadas (≤ 10 min) en garbanzo parecen insuficientes para disolver la cutícula cerosa de </w:t>
            </w:r>
            <w:proofErr w:type="spellStart"/>
            <w:r w:rsidRPr="00F31B5D">
              <w:rPr>
                <w:rFonts w:ascii="Times New Roman" w:eastAsia="Gungsuh" w:hAnsi="Times New Roman" w:cs="Times New Roman"/>
                <w:sz w:val="24"/>
                <w:szCs w:val="24"/>
              </w:rPr>
              <w:t>macrosclereidas</w:t>
            </w:r>
            <w:proofErr w:type="spellEnd"/>
            <w:r w:rsidRPr="00F31B5D">
              <w:rPr>
                <w:rFonts w:ascii="Times New Roman" w:eastAsia="Gungsuh" w:hAnsi="Times New Roman" w:cs="Times New Roman"/>
                <w:sz w:val="24"/>
                <w:szCs w:val="24"/>
              </w:rPr>
              <w:t>. Incrementar la temperatura del solvente o emplear mezclas con etanol podría aumentar su capacidad de ablandamiento, aunque con mayor riesgo toxicológico.</w:t>
            </w:r>
          </w:p>
          <w:p w14:paraId="48A93EB4" w14:textId="77777777" w:rsidR="00E24D44" w:rsidRPr="00F31B5D" w:rsidRDefault="00000000" w:rsidP="00F31B5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Respecto a Agua caliente, la temperatura de 80 °C durante 5 min fue insuficiente para provocar la dilatación diferencial de la testa. Varios autores reportan que </w:t>
            </w:r>
            <w:proofErr w:type="spellStart"/>
            <w:r w:rsidRPr="00F31B5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Cicer</w:t>
            </w:r>
            <w:proofErr w:type="spellEnd"/>
            <w:r w:rsidRPr="00F31B5D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requiere ≥ 90 °C o un choque térmico seguido de enfriamiento brusco para obtener aperturas microscópicas (</w:t>
            </w:r>
            <w:proofErr w:type="spellStart"/>
            <w:r w:rsidRPr="00F31B5D">
              <w:rPr>
                <w:rFonts w:ascii="Times New Roman" w:eastAsia="Gungsuh" w:hAnsi="Times New Roman" w:cs="Times New Roman"/>
                <w:sz w:val="24"/>
                <w:szCs w:val="24"/>
              </w:rPr>
              <w:t>Saxena</w:t>
            </w:r>
            <w:proofErr w:type="spellEnd"/>
            <w:r w:rsidRPr="00F31B5D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et al., 2002). Sin ese gradiente térmico, la permeabilidad apenas cambia, lo que explica el IVG ≈ 0,3 observado (</w:t>
            </w:r>
            <w:r w:rsidRPr="00605C54">
              <w:rPr>
                <w:rFonts w:ascii="Times New Roman" w:eastAsia="Gungsuh" w:hAnsi="Times New Roman" w:cs="Times New Roman"/>
                <w:b/>
                <w:bCs/>
                <w:i/>
                <w:iCs/>
                <w:sz w:val="24"/>
                <w:szCs w:val="24"/>
              </w:rPr>
              <w:t>Figura 2</w:t>
            </w:r>
            <w:r w:rsidRPr="00F31B5D">
              <w:rPr>
                <w:rFonts w:ascii="Times New Roman" w:eastAsia="Gungsuh" w:hAnsi="Times New Roman" w:cs="Times New Roman"/>
                <w:sz w:val="24"/>
                <w:szCs w:val="24"/>
              </w:rPr>
              <w:t>).</w:t>
            </w:r>
          </w:p>
          <w:p w14:paraId="1FD763B9" w14:textId="5549E0FD" w:rsidR="00E24D44" w:rsidRPr="00013CC5" w:rsidRDefault="00000000" w:rsidP="00013CC5">
            <w:pPr>
              <w:pStyle w:val="Ttulo3"/>
              <w:keepNext w:val="0"/>
              <w:keepLines w:val="0"/>
              <w:numPr>
                <w:ilvl w:val="0"/>
                <w:numId w:val="9"/>
              </w:numPr>
              <w:spacing w:before="28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7" w:name="_tdep5bde3001" w:colFirst="0" w:colLast="0"/>
            <w:bookmarkEnd w:id="17"/>
            <w:r w:rsidRPr="00013CC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Velocidad frente a porcentaje: implicaciones prácticas</w:t>
            </w:r>
          </w:p>
          <w:p w14:paraId="25196C00" w14:textId="77777777" w:rsidR="00E24D44" w:rsidRPr="00F31B5D" w:rsidRDefault="00000000" w:rsidP="00F31B5D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Aunque el Control y la Lija mostraron valores de MGT estadísticamente similares (~2,6 d; </w:t>
            </w:r>
            <w:r w:rsidRPr="00605C5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Figura 3</w:t>
            </w: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), las curvas acumuladas (</w:t>
            </w:r>
            <w:r w:rsidRPr="00605C5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Figura 4</w:t>
            </w: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revelan que el lijado adelantó el 80 % de su germinación al día 3, mientras el control tardó hasta el día 5 para acercarse a 65 %. Para viveros o ensayos de fenotipado, esa ganancia de dos días puede traducirse en lotes más uniformes y menores costes de manejo (Dayan &amp; </w:t>
            </w:r>
            <w:proofErr w:type="spellStart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Gutterman</w:t>
            </w:r>
            <w:proofErr w:type="spellEnd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, 2019).</w:t>
            </w:r>
          </w:p>
          <w:p w14:paraId="5B5113E4" w14:textId="57D62E44" w:rsidR="00E24D44" w:rsidRPr="00013CC5" w:rsidRDefault="00000000" w:rsidP="00013CC5">
            <w:pPr>
              <w:pStyle w:val="Ttulo3"/>
              <w:keepNext w:val="0"/>
              <w:keepLines w:val="0"/>
              <w:numPr>
                <w:ilvl w:val="0"/>
                <w:numId w:val="9"/>
              </w:numPr>
              <w:spacing w:before="28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8" w:name="_yf1rd13lspgv" w:colFirst="0" w:colLast="0"/>
            <w:bookmarkEnd w:id="18"/>
            <w:r w:rsidRPr="00013CC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Limitaciones del estudio</w:t>
            </w:r>
          </w:p>
          <w:p w14:paraId="5074EE24" w14:textId="477F15C0" w:rsidR="00E24D44" w:rsidRPr="00F31B5D" w:rsidRDefault="00000000" w:rsidP="00F31B5D">
            <w:pPr>
              <w:numPr>
                <w:ilvl w:val="0"/>
                <w:numId w:val="2"/>
              </w:num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Los porcentajes absolutos fueron bajos (&lt; 10 %) debido a la alta dureza intrínseca del lote (11 % H₂O) y a la incubación en oscuridad a temperatura ambiente; estudios previos con condiciones controladas (25 °C, 95 % HR) reportan hasta 70 % tras lijado (</w:t>
            </w:r>
            <w:proofErr w:type="spellStart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Wen</w:t>
            </w:r>
            <w:proofErr w:type="spellEnd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al., 2024).</w:t>
            </w:r>
          </w:p>
          <w:p w14:paraId="30E0AC87" w14:textId="717250FF" w:rsidR="00E24D44" w:rsidRPr="00F31B5D" w:rsidRDefault="00000000" w:rsidP="00F31B5D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No se evaluaron temperaturas alternativas para el agua caliente ni tiempos mayores en acetona; ambos factores podrían optimizarse con un diseño factorial.</w:t>
            </w:r>
          </w:p>
          <w:p w14:paraId="36477B87" w14:textId="499A3634" w:rsidR="00E24D44" w:rsidRPr="00F31B5D" w:rsidRDefault="00000000" w:rsidP="00F31B5D">
            <w:pPr>
              <w:numPr>
                <w:ilvl w:val="0"/>
                <w:numId w:val="2"/>
              </w:num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El número de semillas por unidad (n = 25) sigue las normas ISTA (2025), pero aumentar el tamaño muestral reduciría la variabilidad del error estándar.</w:t>
            </w:r>
          </w:p>
          <w:p w14:paraId="6F5AC4A1" w14:textId="7BFA3195" w:rsidR="00E24D44" w:rsidRPr="00013CC5" w:rsidRDefault="00000000" w:rsidP="00013CC5">
            <w:pPr>
              <w:pStyle w:val="Ttulo3"/>
              <w:keepNext w:val="0"/>
              <w:keepLines w:val="0"/>
              <w:numPr>
                <w:ilvl w:val="0"/>
                <w:numId w:val="9"/>
              </w:numPr>
              <w:spacing w:before="28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9" w:name="_ybw3dqrp2os8" w:colFirst="0" w:colLast="0"/>
            <w:bookmarkEnd w:id="19"/>
            <w:r w:rsidRPr="00013CC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Recomendaciones</w:t>
            </w:r>
          </w:p>
          <w:p w14:paraId="0836457C" w14:textId="14EF4D2F" w:rsidR="00E24D44" w:rsidRPr="00F31B5D" w:rsidRDefault="00000000" w:rsidP="00F31B5D">
            <w:pPr>
              <w:numPr>
                <w:ilvl w:val="0"/>
                <w:numId w:val="3"/>
              </w:num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Adoptar lijado mecánico como tratamiento de referencia; incorporar </w:t>
            </w:r>
            <w:proofErr w:type="spellStart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pre-hidratación</w:t>
            </w:r>
            <w:proofErr w:type="spellEnd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 h para maximizar la imbibición.</w:t>
            </w:r>
          </w:p>
          <w:p w14:paraId="2514563A" w14:textId="3B70CCE8" w:rsidR="00E24D44" w:rsidRPr="00F31B5D" w:rsidRDefault="00000000" w:rsidP="00F31B5D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>Ensayar choque térmico 95 °C × 1 min + enfriado y acetona 60 °C × 15 min en experimentos futuros.</w:t>
            </w:r>
          </w:p>
          <w:p w14:paraId="6DC691E5" w14:textId="7C08F0CB" w:rsidR="00E24D44" w:rsidRPr="00013CC5" w:rsidRDefault="00000000" w:rsidP="00013CC5">
            <w:pPr>
              <w:numPr>
                <w:ilvl w:val="0"/>
                <w:numId w:val="3"/>
              </w:num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Explorar combinaciones de abrasión ligera + calor, pues han mostrado sinergia en </w:t>
            </w:r>
            <w:proofErr w:type="spellStart"/>
            <w:r w:rsidRPr="00F31B5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Medicago</w:t>
            </w:r>
            <w:proofErr w:type="spellEnd"/>
            <w:r w:rsidRPr="00F31B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(García-Isla et al., 2021).</w:t>
            </w:r>
          </w:p>
        </w:tc>
      </w:tr>
    </w:tbl>
    <w:p w14:paraId="76114ADC" w14:textId="20567722" w:rsidR="00E24D44" w:rsidRPr="00013CC5" w:rsidRDefault="00013CC5" w:rsidP="00013CC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3CC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Referencias </w:t>
      </w:r>
    </w:p>
    <w:p w14:paraId="1071BE41" w14:textId="77777777" w:rsidR="00E24D44" w:rsidRPr="00013CC5" w:rsidRDefault="00000000" w:rsidP="00013CC5">
      <w:pPr>
        <w:spacing w:before="240" w:after="240" w:line="24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proofErr w:type="spellStart"/>
      <w:r w:rsidRPr="00013CC5">
        <w:rPr>
          <w:rFonts w:ascii="Times New Roman" w:eastAsia="Times New Roman" w:hAnsi="Times New Roman" w:cs="Times New Roman"/>
        </w:rPr>
        <w:t>Bewley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, J. D., &amp; Black, M. (1994).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Seeds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: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Physiology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of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development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and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germination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(2nd ed.). </w:t>
      </w:r>
      <w:proofErr w:type="spellStart"/>
      <w:r w:rsidRPr="00013CC5">
        <w:rPr>
          <w:rFonts w:ascii="Times New Roman" w:eastAsia="Times New Roman" w:hAnsi="Times New Roman" w:cs="Times New Roman"/>
        </w:rPr>
        <w:t>Plenum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Press</w:t>
      </w:r>
      <w:proofErr w:type="spellEnd"/>
      <w:r w:rsidRPr="00013CC5">
        <w:rPr>
          <w:rFonts w:ascii="Times New Roman" w:eastAsia="Times New Roman" w:hAnsi="Times New Roman" w:cs="Times New Roman"/>
        </w:rPr>
        <w:t>.</w:t>
      </w:r>
    </w:p>
    <w:p w14:paraId="769C7F7A" w14:textId="77777777" w:rsidR="00E24D44" w:rsidRPr="00013CC5" w:rsidRDefault="00000000" w:rsidP="00013CC5">
      <w:pPr>
        <w:spacing w:before="240" w:after="240" w:line="24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r w:rsidRPr="00013CC5">
        <w:rPr>
          <w:rFonts w:ascii="Times New Roman" w:eastAsia="Times New Roman" w:hAnsi="Times New Roman" w:cs="Times New Roman"/>
        </w:rPr>
        <w:t xml:space="preserve">Dayan, J., &amp; </w:t>
      </w:r>
      <w:proofErr w:type="spellStart"/>
      <w:r w:rsidRPr="00013CC5">
        <w:rPr>
          <w:rFonts w:ascii="Times New Roman" w:eastAsia="Times New Roman" w:hAnsi="Times New Roman" w:cs="Times New Roman"/>
        </w:rPr>
        <w:t>Gutterman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, Y. (2019). </w:t>
      </w:r>
      <w:proofErr w:type="spellStart"/>
      <w:r w:rsidRPr="00013CC5">
        <w:rPr>
          <w:rFonts w:ascii="Times New Roman" w:eastAsia="Times New Roman" w:hAnsi="Times New Roman" w:cs="Times New Roman"/>
        </w:rPr>
        <w:t>Seed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germination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rate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013CC5">
        <w:rPr>
          <w:rFonts w:ascii="Times New Roman" w:eastAsia="Times New Roman" w:hAnsi="Times New Roman" w:cs="Times New Roman"/>
        </w:rPr>
        <w:t>an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ecological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adaptation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Journal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of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Arid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Environments</w:t>
      </w:r>
      <w:proofErr w:type="spellEnd"/>
      <w:r w:rsidRPr="00013CC5">
        <w:rPr>
          <w:rFonts w:ascii="Times New Roman" w:eastAsia="Times New Roman" w:hAnsi="Times New Roman" w:cs="Times New Roman"/>
          <w:i/>
        </w:rPr>
        <w:t>, 162</w:t>
      </w:r>
      <w:r w:rsidRPr="00013CC5">
        <w:rPr>
          <w:rFonts w:ascii="Times New Roman" w:eastAsia="Times New Roman" w:hAnsi="Times New Roman" w:cs="Times New Roman"/>
        </w:rPr>
        <w:t>, 34-41. https://doi.org/10.1016/j.jaridenv.2018.10.010</w:t>
      </w:r>
    </w:p>
    <w:p w14:paraId="6CD3708A" w14:textId="77777777" w:rsidR="00E24D44" w:rsidRPr="00013CC5" w:rsidRDefault="00000000" w:rsidP="00013CC5">
      <w:pPr>
        <w:spacing w:before="240" w:after="240" w:line="240" w:lineRule="auto"/>
        <w:ind w:left="720" w:hanging="720"/>
        <w:jc w:val="both"/>
        <w:rPr>
          <w:rFonts w:ascii="Times New Roman" w:eastAsia="Times New Roman" w:hAnsi="Times New Roman" w:cs="Times New Roman"/>
          <w:color w:val="1155CC"/>
          <w:u w:val="single"/>
        </w:rPr>
      </w:pPr>
      <w:proofErr w:type="spellStart"/>
      <w:r w:rsidRPr="00013CC5">
        <w:rPr>
          <w:rFonts w:ascii="Times New Roman" w:eastAsia="Times New Roman" w:hAnsi="Times New Roman" w:cs="Times New Roman"/>
        </w:rPr>
        <w:t>Food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013CC5">
        <w:rPr>
          <w:rFonts w:ascii="Times New Roman" w:eastAsia="Times New Roman" w:hAnsi="Times New Roman" w:cs="Times New Roman"/>
        </w:rPr>
        <w:t>Agriculture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Organization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of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the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United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Nations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. (2025, </w:t>
      </w:r>
      <w:proofErr w:type="spellStart"/>
      <w:r w:rsidRPr="00013CC5">
        <w:rPr>
          <w:rFonts w:ascii="Times New Roman" w:eastAsia="Times New Roman" w:hAnsi="Times New Roman" w:cs="Times New Roman"/>
        </w:rPr>
        <w:t>February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10).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Why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we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celebrate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World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Pulses Day</w:t>
      </w:r>
      <w:r w:rsidRPr="00013CC5">
        <w:rPr>
          <w:rFonts w:ascii="Times New Roman" w:eastAsia="Times New Roman" w:hAnsi="Times New Roman" w:cs="Times New Roman"/>
        </w:rPr>
        <w:t>.</w:t>
      </w:r>
      <w:hyperlink r:id="rId13">
        <w:r w:rsidR="00E24D44" w:rsidRPr="00013CC5">
          <w:rPr>
            <w:rFonts w:ascii="Times New Roman" w:eastAsia="Times New Roman" w:hAnsi="Times New Roman" w:cs="Times New Roman"/>
          </w:rPr>
          <w:t xml:space="preserve"> </w:t>
        </w:r>
      </w:hyperlink>
      <w:hyperlink r:id="rId14">
        <w:r w:rsidR="00E24D44" w:rsidRPr="00013CC5">
          <w:rPr>
            <w:rFonts w:ascii="Times New Roman" w:eastAsia="Times New Roman" w:hAnsi="Times New Roman" w:cs="Times New Roman"/>
            <w:color w:val="1155CC"/>
            <w:u w:val="single"/>
          </w:rPr>
          <w:t>https://www.fao.org/plant-production-protection/news-and-events/news/news-detail/why-we-celebrate-world-pulses-day</w:t>
        </w:r>
      </w:hyperlink>
    </w:p>
    <w:p w14:paraId="06915CD7" w14:textId="77777777" w:rsidR="00E24D44" w:rsidRPr="00013CC5" w:rsidRDefault="00000000" w:rsidP="00013CC5">
      <w:pPr>
        <w:spacing w:before="240" w:after="240" w:line="240" w:lineRule="auto"/>
        <w:ind w:left="720" w:hanging="720"/>
        <w:jc w:val="both"/>
        <w:rPr>
          <w:rFonts w:ascii="Times New Roman" w:eastAsia="Times New Roman" w:hAnsi="Times New Roman" w:cs="Times New Roman"/>
          <w:color w:val="1155CC"/>
          <w:u w:val="single"/>
        </w:rPr>
      </w:pPr>
      <w:r w:rsidRPr="00013CC5">
        <w:rPr>
          <w:rFonts w:ascii="Times New Roman" w:eastAsia="Times New Roman" w:hAnsi="Times New Roman" w:cs="Times New Roman"/>
        </w:rPr>
        <w:t xml:space="preserve">FAOSTAT. (2022).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Chickpea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production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statistics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13CC5">
        <w:rPr>
          <w:rFonts w:ascii="Times New Roman" w:eastAsia="Times New Roman" w:hAnsi="Times New Roman" w:cs="Times New Roman"/>
        </w:rPr>
        <w:t>Food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013CC5">
        <w:rPr>
          <w:rFonts w:ascii="Times New Roman" w:eastAsia="Times New Roman" w:hAnsi="Times New Roman" w:cs="Times New Roman"/>
        </w:rPr>
        <w:t>Agriculture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Organization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of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the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United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Nations</w:t>
      </w:r>
      <w:proofErr w:type="spellEnd"/>
      <w:r w:rsidRPr="00013CC5">
        <w:rPr>
          <w:rFonts w:ascii="Times New Roman" w:eastAsia="Times New Roman" w:hAnsi="Times New Roman" w:cs="Times New Roman"/>
        </w:rPr>
        <w:t>.</w:t>
      </w:r>
      <w:hyperlink r:id="rId15" w:anchor="data">
        <w:r w:rsidR="00E24D44" w:rsidRPr="00013CC5">
          <w:rPr>
            <w:rFonts w:ascii="Times New Roman" w:eastAsia="Times New Roman" w:hAnsi="Times New Roman" w:cs="Times New Roman"/>
          </w:rPr>
          <w:t xml:space="preserve"> </w:t>
        </w:r>
      </w:hyperlink>
      <w:hyperlink r:id="rId16" w:anchor="data">
        <w:r w:rsidR="00E24D44" w:rsidRPr="00013CC5">
          <w:rPr>
            <w:rFonts w:ascii="Times New Roman" w:eastAsia="Times New Roman" w:hAnsi="Times New Roman" w:cs="Times New Roman"/>
            <w:color w:val="1155CC"/>
            <w:u w:val="single"/>
          </w:rPr>
          <w:t>https://www.fao.org/faostat/en/#data</w:t>
        </w:r>
      </w:hyperlink>
    </w:p>
    <w:p w14:paraId="11A35D94" w14:textId="77777777" w:rsidR="00E24D44" w:rsidRPr="00013CC5" w:rsidRDefault="00000000" w:rsidP="00013CC5">
      <w:pPr>
        <w:spacing w:before="240" w:after="240" w:line="24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proofErr w:type="spellStart"/>
      <w:r w:rsidRPr="00013CC5">
        <w:rPr>
          <w:rFonts w:ascii="Times New Roman" w:eastAsia="Times New Roman" w:hAnsi="Times New Roman" w:cs="Times New Roman"/>
        </w:rPr>
        <w:t>Guma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, I. R., Padrón Mederos, M. A., Santos Guerra, A., &amp; Reyes-Betancort, J. A. (2010). </w:t>
      </w:r>
      <w:proofErr w:type="spellStart"/>
      <w:r w:rsidRPr="00013CC5">
        <w:rPr>
          <w:rFonts w:ascii="Times New Roman" w:eastAsia="Times New Roman" w:hAnsi="Times New Roman" w:cs="Times New Roman"/>
        </w:rPr>
        <w:t>Evaluation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of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methods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to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remove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hard-seededness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Cicer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canariense</w:t>
      </w:r>
      <w:r w:rsidRPr="00013CC5">
        <w:rPr>
          <w:rFonts w:ascii="Times New Roman" w:eastAsia="Times New Roman" w:hAnsi="Times New Roman" w:cs="Times New Roman"/>
        </w:rPr>
        <w:t xml:space="preserve">, a </w:t>
      </w:r>
      <w:proofErr w:type="spellStart"/>
      <w:r w:rsidRPr="00013CC5">
        <w:rPr>
          <w:rFonts w:ascii="Times New Roman" w:eastAsia="Times New Roman" w:hAnsi="Times New Roman" w:cs="Times New Roman"/>
        </w:rPr>
        <w:t>perennial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wild relative </w:t>
      </w:r>
      <w:proofErr w:type="spellStart"/>
      <w:r w:rsidRPr="00013CC5">
        <w:rPr>
          <w:rFonts w:ascii="Times New Roman" w:eastAsia="Times New Roman" w:hAnsi="Times New Roman" w:cs="Times New Roman"/>
        </w:rPr>
        <w:t>of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chickpea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Seed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Science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and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Technology</w:t>
      </w:r>
      <w:proofErr w:type="spellEnd"/>
      <w:r w:rsidRPr="00013CC5">
        <w:rPr>
          <w:rFonts w:ascii="Times New Roman" w:eastAsia="Times New Roman" w:hAnsi="Times New Roman" w:cs="Times New Roman"/>
          <w:i/>
        </w:rPr>
        <w:t>, 38</w:t>
      </w:r>
      <w:r w:rsidRPr="00013CC5">
        <w:rPr>
          <w:rFonts w:ascii="Times New Roman" w:eastAsia="Times New Roman" w:hAnsi="Times New Roman" w:cs="Times New Roman"/>
        </w:rPr>
        <w:t>(1), 209-213.</w:t>
      </w:r>
    </w:p>
    <w:p w14:paraId="4349B674" w14:textId="77777777" w:rsidR="00E24D44" w:rsidRPr="00013CC5" w:rsidRDefault="00000000" w:rsidP="00013CC5">
      <w:pPr>
        <w:spacing w:before="240" w:after="240" w:line="24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r w:rsidRPr="00013CC5">
        <w:rPr>
          <w:rFonts w:ascii="Times New Roman" w:eastAsia="Times New Roman" w:hAnsi="Times New Roman" w:cs="Times New Roman"/>
        </w:rPr>
        <w:t xml:space="preserve">International </w:t>
      </w:r>
      <w:proofErr w:type="spellStart"/>
      <w:r w:rsidRPr="00013CC5">
        <w:rPr>
          <w:rFonts w:ascii="Times New Roman" w:eastAsia="Times New Roman" w:hAnsi="Times New Roman" w:cs="Times New Roman"/>
        </w:rPr>
        <w:t>Seed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Testing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Association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. (2025). </w:t>
      </w:r>
      <w:r w:rsidRPr="00013CC5">
        <w:rPr>
          <w:rFonts w:ascii="Times New Roman" w:eastAsia="Times New Roman" w:hAnsi="Times New Roman" w:cs="Times New Roman"/>
          <w:i/>
        </w:rPr>
        <w:t xml:space="preserve">International Rules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for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Seed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Testing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013CC5">
        <w:rPr>
          <w:rFonts w:ascii="Times New Roman" w:eastAsia="Times New Roman" w:hAnsi="Times New Roman" w:cs="Times New Roman"/>
        </w:rPr>
        <w:t>Version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2025). ISTA.</w:t>
      </w:r>
    </w:p>
    <w:p w14:paraId="7DE9691D" w14:textId="77777777" w:rsidR="00E24D44" w:rsidRPr="00013CC5" w:rsidRDefault="00000000" w:rsidP="00013CC5">
      <w:pPr>
        <w:spacing w:before="240" w:after="240" w:line="24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proofErr w:type="spellStart"/>
      <w:r w:rsidRPr="00013CC5">
        <w:rPr>
          <w:rFonts w:ascii="Times New Roman" w:eastAsia="Times New Roman" w:hAnsi="Times New Roman" w:cs="Times New Roman"/>
        </w:rPr>
        <w:t>Kader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, M., &amp; Hosseini, M. (2020). </w:t>
      </w:r>
      <w:proofErr w:type="spellStart"/>
      <w:r w:rsidRPr="00013CC5">
        <w:rPr>
          <w:rFonts w:ascii="Times New Roman" w:eastAsia="Times New Roman" w:hAnsi="Times New Roman" w:cs="Times New Roman"/>
        </w:rPr>
        <w:t>Organic-solvent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scarification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improves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hard-seededness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breakdown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013CC5">
        <w:rPr>
          <w:rFonts w:ascii="Times New Roman" w:eastAsia="Times New Roman" w:hAnsi="Times New Roman" w:cs="Times New Roman"/>
        </w:rPr>
        <w:t>legumes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Seed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Science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and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Technology</w:t>
      </w:r>
      <w:proofErr w:type="spellEnd"/>
      <w:r w:rsidRPr="00013CC5">
        <w:rPr>
          <w:rFonts w:ascii="Times New Roman" w:eastAsia="Times New Roman" w:hAnsi="Times New Roman" w:cs="Times New Roman"/>
          <w:i/>
        </w:rPr>
        <w:t>, 48</w:t>
      </w:r>
      <w:r w:rsidRPr="00013CC5">
        <w:rPr>
          <w:rFonts w:ascii="Times New Roman" w:eastAsia="Times New Roman" w:hAnsi="Times New Roman" w:cs="Times New Roman"/>
        </w:rPr>
        <w:t>(1), 23-31. https://doi.org/10.15258/sst.2020.48.1.03</w:t>
      </w:r>
    </w:p>
    <w:p w14:paraId="7E7269BA" w14:textId="77777777" w:rsidR="00E24D44" w:rsidRPr="00013CC5" w:rsidRDefault="00000000" w:rsidP="00013CC5">
      <w:pPr>
        <w:spacing w:before="240" w:after="240" w:line="24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r w:rsidRPr="00013CC5">
        <w:rPr>
          <w:rFonts w:ascii="Times New Roman" w:eastAsia="Times New Roman" w:hAnsi="Times New Roman" w:cs="Times New Roman"/>
        </w:rPr>
        <w:lastRenderedPageBreak/>
        <w:t xml:space="preserve">Lozano-Isla, F., Benites-Alfaro, O. E., &amp; </w:t>
      </w:r>
      <w:proofErr w:type="spellStart"/>
      <w:r w:rsidRPr="00013CC5">
        <w:rPr>
          <w:rFonts w:ascii="Times New Roman" w:eastAsia="Times New Roman" w:hAnsi="Times New Roman" w:cs="Times New Roman"/>
        </w:rPr>
        <w:t>Pompelli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, M. F. (2019). </w:t>
      </w:r>
      <w:proofErr w:type="spellStart"/>
      <w:r w:rsidRPr="00013CC5">
        <w:rPr>
          <w:rFonts w:ascii="Times New Roman" w:eastAsia="Times New Roman" w:hAnsi="Times New Roman" w:cs="Times New Roman"/>
        </w:rPr>
        <w:t>GerminaR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013CC5">
        <w:rPr>
          <w:rFonts w:ascii="Times New Roman" w:eastAsia="Times New Roman" w:hAnsi="Times New Roman" w:cs="Times New Roman"/>
        </w:rPr>
        <w:t>An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R </w:t>
      </w:r>
      <w:proofErr w:type="spellStart"/>
      <w:r w:rsidRPr="00013CC5">
        <w:rPr>
          <w:rFonts w:ascii="Times New Roman" w:eastAsia="Times New Roman" w:hAnsi="Times New Roman" w:cs="Times New Roman"/>
        </w:rPr>
        <w:t>package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for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germination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analysis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with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the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interactive web </w:t>
      </w:r>
      <w:proofErr w:type="spellStart"/>
      <w:r w:rsidRPr="00013CC5">
        <w:rPr>
          <w:rFonts w:ascii="Times New Roman" w:eastAsia="Times New Roman" w:hAnsi="Times New Roman" w:cs="Times New Roman"/>
        </w:rPr>
        <w:t>application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“</w:t>
      </w:r>
      <w:proofErr w:type="spellStart"/>
      <w:r w:rsidRPr="00013CC5">
        <w:rPr>
          <w:rFonts w:ascii="Times New Roman" w:eastAsia="Times New Roman" w:hAnsi="Times New Roman" w:cs="Times New Roman"/>
        </w:rPr>
        <w:t>Germination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Metrics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”.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Seed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Science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Research</w:t>
      </w:r>
      <w:proofErr w:type="spellEnd"/>
      <w:r w:rsidRPr="00013CC5">
        <w:rPr>
          <w:rFonts w:ascii="Times New Roman" w:eastAsia="Times New Roman" w:hAnsi="Times New Roman" w:cs="Times New Roman"/>
          <w:i/>
        </w:rPr>
        <w:t>, 29</w:t>
      </w:r>
      <w:r w:rsidRPr="00013CC5">
        <w:rPr>
          <w:rFonts w:ascii="Times New Roman" w:eastAsia="Times New Roman" w:hAnsi="Times New Roman" w:cs="Times New Roman"/>
        </w:rPr>
        <w:t>(3), 138-146. https://doi.org/10.1017/S0960258519000123</w:t>
      </w:r>
    </w:p>
    <w:p w14:paraId="064F0FDE" w14:textId="77777777" w:rsidR="00E24D44" w:rsidRPr="00013CC5" w:rsidRDefault="00000000" w:rsidP="00013CC5">
      <w:pPr>
        <w:spacing w:before="240" w:after="240" w:line="24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r w:rsidRPr="00013CC5">
        <w:rPr>
          <w:rFonts w:ascii="Times New Roman" w:eastAsia="Times New Roman" w:hAnsi="Times New Roman" w:cs="Times New Roman"/>
        </w:rPr>
        <w:t xml:space="preserve">Maguire, J. D. (1962). </w:t>
      </w:r>
      <w:proofErr w:type="spellStart"/>
      <w:r w:rsidRPr="00013CC5">
        <w:rPr>
          <w:rFonts w:ascii="Times New Roman" w:eastAsia="Times New Roman" w:hAnsi="Times New Roman" w:cs="Times New Roman"/>
        </w:rPr>
        <w:t>Speed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of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germination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—Aid in </w:t>
      </w:r>
      <w:proofErr w:type="spellStart"/>
      <w:r w:rsidRPr="00013CC5">
        <w:rPr>
          <w:rFonts w:ascii="Times New Roman" w:eastAsia="Times New Roman" w:hAnsi="Times New Roman" w:cs="Times New Roman"/>
        </w:rPr>
        <w:t>selection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013CC5">
        <w:rPr>
          <w:rFonts w:ascii="Times New Roman" w:eastAsia="Times New Roman" w:hAnsi="Times New Roman" w:cs="Times New Roman"/>
        </w:rPr>
        <w:t>evaluation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for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seedling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emergence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and vigor.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Crop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Science</w:t>
      </w:r>
      <w:proofErr w:type="spellEnd"/>
      <w:r w:rsidRPr="00013CC5">
        <w:rPr>
          <w:rFonts w:ascii="Times New Roman" w:eastAsia="Times New Roman" w:hAnsi="Times New Roman" w:cs="Times New Roman"/>
          <w:i/>
        </w:rPr>
        <w:t>, 2</w:t>
      </w:r>
      <w:r w:rsidRPr="00013CC5">
        <w:rPr>
          <w:rFonts w:ascii="Times New Roman" w:eastAsia="Times New Roman" w:hAnsi="Times New Roman" w:cs="Times New Roman"/>
        </w:rPr>
        <w:t>(2), 176-177. https://doi.org/10.2135/cropsci1962.0011183X000200020033x</w:t>
      </w:r>
    </w:p>
    <w:p w14:paraId="22205E8A" w14:textId="77777777" w:rsidR="00E24D44" w:rsidRPr="00013CC5" w:rsidRDefault="00000000" w:rsidP="00013CC5">
      <w:pPr>
        <w:spacing w:before="240" w:after="240" w:line="24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proofErr w:type="spellStart"/>
      <w:r w:rsidRPr="00013CC5">
        <w:rPr>
          <w:rFonts w:ascii="Times New Roman" w:eastAsia="Times New Roman" w:hAnsi="Times New Roman" w:cs="Times New Roman"/>
        </w:rPr>
        <w:t>Saxena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, P. K., Bajaj, S., &amp; Thakur, P. (2002). </w:t>
      </w:r>
      <w:proofErr w:type="spellStart"/>
      <w:r w:rsidRPr="00013CC5">
        <w:rPr>
          <w:rFonts w:ascii="Times New Roman" w:eastAsia="Times New Roman" w:hAnsi="Times New Roman" w:cs="Times New Roman"/>
        </w:rPr>
        <w:t>Effect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of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hot-water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treatment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on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the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hard-seededness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of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chickpea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Indian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Journal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of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Pulses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Research</w:t>
      </w:r>
      <w:proofErr w:type="spellEnd"/>
      <w:r w:rsidRPr="00013CC5">
        <w:rPr>
          <w:rFonts w:ascii="Times New Roman" w:eastAsia="Times New Roman" w:hAnsi="Times New Roman" w:cs="Times New Roman"/>
          <w:i/>
        </w:rPr>
        <w:t>, 15</w:t>
      </w:r>
      <w:r w:rsidRPr="00013CC5">
        <w:rPr>
          <w:rFonts w:ascii="Times New Roman" w:eastAsia="Times New Roman" w:hAnsi="Times New Roman" w:cs="Times New Roman"/>
        </w:rPr>
        <w:t>, 95-98.</w:t>
      </w:r>
    </w:p>
    <w:p w14:paraId="4ED79206" w14:textId="77777777" w:rsidR="00E24D44" w:rsidRPr="00013CC5" w:rsidRDefault="00000000" w:rsidP="00013CC5">
      <w:pPr>
        <w:spacing w:before="240" w:after="240" w:line="24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r w:rsidRPr="00013CC5">
        <w:rPr>
          <w:rFonts w:ascii="Times New Roman" w:eastAsia="Times New Roman" w:hAnsi="Times New Roman" w:cs="Times New Roman"/>
        </w:rPr>
        <w:t xml:space="preserve">Steel, R. G. D., </w:t>
      </w:r>
      <w:proofErr w:type="spellStart"/>
      <w:r w:rsidRPr="00013CC5">
        <w:rPr>
          <w:rFonts w:ascii="Times New Roman" w:eastAsia="Times New Roman" w:hAnsi="Times New Roman" w:cs="Times New Roman"/>
        </w:rPr>
        <w:t>Torri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, J. H., &amp; </w:t>
      </w:r>
      <w:proofErr w:type="spellStart"/>
      <w:r w:rsidRPr="00013CC5">
        <w:rPr>
          <w:rFonts w:ascii="Times New Roman" w:eastAsia="Times New Roman" w:hAnsi="Times New Roman" w:cs="Times New Roman"/>
        </w:rPr>
        <w:t>Dickey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, D. A. (2013).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Principles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and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procedures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of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statistics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: A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biometrical</w:t>
      </w:r>
      <w:proofErr w:type="spellEnd"/>
      <w:r w:rsidRPr="00013CC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approach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(4th ed.). McGraw-Hill.</w:t>
      </w:r>
    </w:p>
    <w:p w14:paraId="3F09CB5E" w14:textId="77777777" w:rsidR="00E24D44" w:rsidRPr="00013CC5" w:rsidRDefault="00000000" w:rsidP="00013CC5">
      <w:pPr>
        <w:spacing w:before="240" w:after="240" w:line="24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proofErr w:type="spellStart"/>
      <w:r w:rsidRPr="00013CC5">
        <w:rPr>
          <w:rFonts w:ascii="Times New Roman" w:eastAsia="Times New Roman" w:hAnsi="Times New Roman" w:cs="Times New Roman"/>
        </w:rPr>
        <w:t>Wen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, Z., Lu, X., </w:t>
      </w:r>
      <w:proofErr w:type="spellStart"/>
      <w:r w:rsidRPr="00013CC5">
        <w:rPr>
          <w:rFonts w:ascii="Times New Roman" w:eastAsia="Times New Roman" w:hAnsi="Times New Roman" w:cs="Times New Roman"/>
        </w:rPr>
        <w:t>Wen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, J., Wang, Z., &amp; Chai, M. (2024). </w:t>
      </w:r>
      <w:proofErr w:type="spellStart"/>
      <w:r w:rsidRPr="00013CC5">
        <w:rPr>
          <w:rFonts w:ascii="Times New Roman" w:eastAsia="Times New Roman" w:hAnsi="Times New Roman" w:cs="Times New Roman"/>
        </w:rPr>
        <w:t>Physical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seed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CC5">
        <w:rPr>
          <w:rFonts w:ascii="Times New Roman" w:eastAsia="Times New Roman" w:hAnsi="Times New Roman" w:cs="Times New Roman"/>
        </w:rPr>
        <w:t>dormancy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013CC5">
        <w:rPr>
          <w:rFonts w:ascii="Times New Roman" w:eastAsia="Times New Roman" w:hAnsi="Times New Roman" w:cs="Times New Roman"/>
        </w:rPr>
        <w:t>legumes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: Molecular </w:t>
      </w:r>
      <w:proofErr w:type="spellStart"/>
      <w:r w:rsidRPr="00013CC5">
        <w:rPr>
          <w:rFonts w:ascii="Times New Roman" w:eastAsia="Times New Roman" w:hAnsi="Times New Roman" w:cs="Times New Roman"/>
        </w:rPr>
        <w:t>advances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013CC5">
        <w:rPr>
          <w:rFonts w:ascii="Times New Roman" w:eastAsia="Times New Roman" w:hAnsi="Times New Roman" w:cs="Times New Roman"/>
        </w:rPr>
        <w:t>perspectives</w:t>
      </w:r>
      <w:proofErr w:type="spellEnd"/>
      <w:r w:rsidRPr="00013CC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013CC5">
        <w:rPr>
          <w:rFonts w:ascii="Times New Roman" w:eastAsia="Times New Roman" w:hAnsi="Times New Roman" w:cs="Times New Roman"/>
          <w:i/>
        </w:rPr>
        <w:t>Plants</w:t>
      </w:r>
      <w:proofErr w:type="spellEnd"/>
      <w:r w:rsidRPr="00013CC5">
        <w:rPr>
          <w:rFonts w:ascii="Times New Roman" w:eastAsia="Times New Roman" w:hAnsi="Times New Roman" w:cs="Times New Roman"/>
          <w:i/>
        </w:rPr>
        <w:t>, 13</w:t>
      </w:r>
      <w:r w:rsidRPr="00013CC5">
        <w:rPr>
          <w:rFonts w:ascii="Times New Roman" w:eastAsia="Times New Roman" w:hAnsi="Times New Roman" w:cs="Times New Roman"/>
        </w:rPr>
        <w:t>(11), 1473. https://doi.org/10.3390/plants13111473</w:t>
      </w:r>
    </w:p>
    <w:p w14:paraId="75CBB128" w14:textId="77777777" w:rsidR="00E24D44" w:rsidRPr="00F31B5D" w:rsidRDefault="00E24D44" w:rsidP="00F31B5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584DD5" w14:textId="77777777" w:rsidR="00E24D44" w:rsidRPr="00F31B5D" w:rsidRDefault="00E24D44" w:rsidP="00F31B5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24D44" w:rsidRPr="00F31B5D"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395D9" w14:textId="77777777" w:rsidR="00677DA8" w:rsidRDefault="00677DA8">
      <w:pPr>
        <w:spacing w:line="240" w:lineRule="auto"/>
      </w:pPr>
      <w:r>
        <w:separator/>
      </w:r>
    </w:p>
  </w:endnote>
  <w:endnote w:type="continuationSeparator" w:id="0">
    <w:p w14:paraId="4EB0491F" w14:textId="77777777" w:rsidR="00677DA8" w:rsidRDefault="00677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ACAAD" w14:textId="77777777" w:rsidR="00E24D44" w:rsidRDefault="00E24D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B2596" w14:textId="77777777" w:rsidR="00677DA8" w:rsidRDefault="00677DA8">
      <w:pPr>
        <w:spacing w:line="240" w:lineRule="auto"/>
      </w:pPr>
      <w:r>
        <w:separator/>
      </w:r>
    </w:p>
  </w:footnote>
  <w:footnote w:type="continuationSeparator" w:id="0">
    <w:p w14:paraId="3D91C266" w14:textId="77777777" w:rsidR="00677DA8" w:rsidRDefault="00677D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20108"/>
    <w:multiLevelType w:val="hybridMultilevel"/>
    <w:tmpl w:val="6C8478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711DB"/>
    <w:multiLevelType w:val="hybridMultilevel"/>
    <w:tmpl w:val="0B6A3F20"/>
    <w:lvl w:ilvl="0" w:tplc="280A0019">
      <w:start w:val="1"/>
      <w:numFmt w:val="lowerLetter"/>
      <w:lvlText w:val="%1."/>
      <w:lvlJc w:val="left"/>
      <w:pPr>
        <w:ind w:left="927" w:hanging="360"/>
      </w:p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E42253"/>
    <w:multiLevelType w:val="multilevel"/>
    <w:tmpl w:val="E8189A3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32861"/>
    <w:multiLevelType w:val="hybridMultilevel"/>
    <w:tmpl w:val="A4BE7A7C"/>
    <w:lvl w:ilvl="0" w:tplc="280A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5BF3B52"/>
    <w:multiLevelType w:val="multilevel"/>
    <w:tmpl w:val="FF8C29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AC11FF"/>
    <w:multiLevelType w:val="multilevel"/>
    <w:tmpl w:val="3D4873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C1153A"/>
    <w:multiLevelType w:val="hybridMultilevel"/>
    <w:tmpl w:val="9D7E9B8C"/>
    <w:lvl w:ilvl="0" w:tplc="227C71B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30276"/>
    <w:multiLevelType w:val="hybridMultilevel"/>
    <w:tmpl w:val="11EE575A"/>
    <w:lvl w:ilvl="0" w:tplc="227C71B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53485"/>
    <w:multiLevelType w:val="hybridMultilevel"/>
    <w:tmpl w:val="2C900E44"/>
    <w:lvl w:ilvl="0" w:tplc="227C71B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97362"/>
    <w:multiLevelType w:val="hybridMultilevel"/>
    <w:tmpl w:val="7D1AB6E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60C8F"/>
    <w:multiLevelType w:val="multilevel"/>
    <w:tmpl w:val="EEFAA32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1A59B2"/>
    <w:multiLevelType w:val="multilevel"/>
    <w:tmpl w:val="001230B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133188"/>
    <w:multiLevelType w:val="multilevel"/>
    <w:tmpl w:val="80500D0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0E294B"/>
    <w:multiLevelType w:val="multilevel"/>
    <w:tmpl w:val="D22A37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92552228">
    <w:abstractNumId w:val="4"/>
  </w:num>
  <w:num w:numId="2" w16cid:durableId="520507918">
    <w:abstractNumId w:val="11"/>
  </w:num>
  <w:num w:numId="3" w16cid:durableId="1601254720">
    <w:abstractNumId w:val="2"/>
  </w:num>
  <w:num w:numId="4" w16cid:durableId="150371444">
    <w:abstractNumId w:val="13"/>
  </w:num>
  <w:num w:numId="5" w16cid:durableId="998265962">
    <w:abstractNumId w:val="10"/>
  </w:num>
  <w:num w:numId="6" w16cid:durableId="1674843319">
    <w:abstractNumId w:val="12"/>
  </w:num>
  <w:num w:numId="7" w16cid:durableId="95058005">
    <w:abstractNumId w:val="6"/>
  </w:num>
  <w:num w:numId="8" w16cid:durableId="562252585">
    <w:abstractNumId w:val="5"/>
  </w:num>
  <w:num w:numId="9" w16cid:durableId="1323584557">
    <w:abstractNumId w:val="3"/>
  </w:num>
  <w:num w:numId="10" w16cid:durableId="1917937934">
    <w:abstractNumId w:val="1"/>
  </w:num>
  <w:num w:numId="11" w16cid:durableId="183372251">
    <w:abstractNumId w:val="9"/>
  </w:num>
  <w:num w:numId="12" w16cid:durableId="2134058533">
    <w:abstractNumId w:val="0"/>
  </w:num>
  <w:num w:numId="13" w16cid:durableId="1096091786">
    <w:abstractNumId w:val="7"/>
  </w:num>
  <w:num w:numId="14" w16cid:durableId="683060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D44"/>
    <w:rsid w:val="00013CC5"/>
    <w:rsid w:val="00292821"/>
    <w:rsid w:val="00506479"/>
    <w:rsid w:val="00605C54"/>
    <w:rsid w:val="00677DA8"/>
    <w:rsid w:val="0093319B"/>
    <w:rsid w:val="009E07DD"/>
    <w:rsid w:val="00E24D44"/>
    <w:rsid w:val="00E61134"/>
    <w:rsid w:val="00E7352D"/>
    <w:rsid w:val="00EE1633"/>
    <w:rsid w:val="00F3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BEAD5E"/>
  <w15:docId w15:val="{997DA9F1-D38A-4297-BB2B-95551312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31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ao.org/plant-production-protection/news-and-events/news/news-detail/why-we-celebrate-world-pulses-da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dpi.com/2223-7747/13/11/1473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fao.org/faostat/e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fao.org/faostat/en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ao.org/plant-production-protection/news-and-events/news/news-detail/why-we-celebrate-world-pulses-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2005</Words>
  <Characters>11029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jhinmy hidrogo</cp:lastModifiedBy>
  <cp:revision>7</cp:revision>
  <dcterms:created xsi:type="dcterms:W3CDTF">2025-06-06T22:51:00Z</dcterms:created>
  <dcterms:modified xsi:type="dcterms:W3CDTF">2025-06-07T19:42:00Z</dcterms:modified>
</cp:coreProperties>
</file>