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Period: 2011-2018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Macro: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GDP, CPI, stock_idx, RIR (real interest rate)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Bankwise: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Roe, T1cr,</w:t>
      </w:r>
      <w:r w:rsidDel="00000000" w:rsidR="00000000" w:rsidRPr="00000000">
        <w:rPr>
          <w:rtl w:val="0"/>
        </w:rPr>
        <w:t xml:space="preserve"> stock_price,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mkt_cap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leverage ratio, adj 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EBIT (Earnings before interest and tax)</w:t>
      </w:r>
    </w:p>
    <w:p w:rsidR="00000000" w:rsidDel="00000000" w:rsidP="00000000" w:rsidRDefault="00000000" w:rsidRPr="00000000" w14:paraId="00000008">
      <w:pPr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G-SIBs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JPMORGAN CHASE &amp; CO: jpm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Citigroup: 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of America: bac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Goldman Sachs: 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Morgan Stanley: 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Wells Frago: wfc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BNY Mellon: bk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Street: stt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D-SIBs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U.S. Bancorp:usb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Truist Financial:tfc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SunTrust Banks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Regions Financial: rf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PNC Financial Services: pnc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Fifth Third Bank:fitb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One Financial: cof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Express: axp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Ally Financial: ally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Zions: zion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Mufg americans holdings:mufg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Santander Holdings USA: sov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RBS Citizens Financial Group: cfg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Northern Trust: ntrs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M&amp;T Bank: mtb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Huntington Bancshares: hban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HSBC North America Holdings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Financial Services: dfs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Comerica: cma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BMO Financial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G-SIBs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</w:t>
      </w:r>
    </w:p>
    <w:p w:rsidR="00000000" w:rsidDel="00000000" w:rsidP="00000000" w:rsidRDefault="00000000" w:rsidRPr="00000000" w14:paraId="000000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Macro: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GDP, CPI, stock_idx,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RIR (real interest 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Bankwise: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Roe, T1cr, stock_price,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mkt_cap,</w:t>
      </w:r>
      <w:r w:rsidDel="00000000" w:rsidR="00000000" w:rsidRPr="00000000">
        <w:rPr>
          <w:rtl w:val="0"/>
        </w:rPr>
        <w:t xml:space="preserve"> leverage ratio, adj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EBIT (Earnings before interest and tax)</w:t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G-SIBs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RBC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BMO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D-SIBs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CIBC: cm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3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National Bank of Canada:na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