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71E1" w14:textId="22DCEB12" w:rsidR="00C30556" w:rsidRPr="00F518E4" w:rsidRDefault="00C30556" w:rsidP="00171566">
      <w:pPr>
        <w:spacing w:line="480" w:lineRule="auto"/>
        <w:rPr>
          <w:rFonts w:ascii="Times New Roman" w:hAnsi="Times New Roman" w:cs="Times New Roman"/>
          <w:b/>
          <w:bCs/>
          <w:lang w:val="en-US"/>
        </w:rPr>
      </w:pPr>
      <w:commentRangeStart w:id="0"/>
      <w:r w:rsidRPr="00F518E4">
        <w:rPr>
          <w:rFonts w:ascii="Times New Roman" w:hAnsi="Times New Roman" w:cs="Times New Roman"/>
          <w:b/>
          <w:bCs/>
          <w:lang w:val="en-US"/>
        </w:rPr>
        <w:t>Result</w:t>
      </w:r>
      <w:commentRangeEnd w:id="0"/>
      <w:r w:rsidR="00AD0BC9" w:rsidRPr="00F518E4">
        <w:rPr>
          <w:rStyle w:val="CommentReference"/>
          <w:rFonts w:ascii="Times New Roman" w:hAnsi="Times New Roman" w:cs="Times New Roman"/>
          <w:b/>
          <w:bCs/>
        </w:rPr>
        <w:commentReference w:id="0"/>
      </w:r>
    </w:p>
    <w:p w14:paraId="12B7C381" w14:textId="323C13C6" w:rsidR="008D0CB9" w:rsidRPr="00F518E4" w:rsidRDefault="00B25425" w:rsidP="00171566">
      <w:pPr>
        <w:spacing w:line="480" w:lineRule="auto"/>
        <w:rPr>
          <w:rFonts w:ascii="Times New Roman" w:hAnsi="Times New Roman" w:cs="Times New Roman"/>
          <w:i/>
          <w:iCs/>
        </w:rPr>
      </w:pPr>
      <w:r w:rsidRPr="00F518E4">
        <w:rPr>
          <w:rFonts w:ascii="Times New Roman" w:hAnsi="Times New Roman" w:cs="Times New Roman"/>
          <w:i/>
          <w:iCs/>
        </w:rPr>
        <w:t xml:space="preserve">Model </w:t>
      </w:r>
      <w:r w:rsidR="00D07493" w:rsidRPr="00F518E4">
        <w:rPr>
          <w:rFonts w:ascii="Times New Roman" w:hAnsi="Times New Roman" w:cs="Times New Roman"/>
          <w:i/>
          <w:iCs/>
        </w:rPr>
        <w:t>Assessment</w:t>
      </w:r>
    </w:p>
    <w:p w14:paraId="493AF7D3" w14:textId="1B4EA8D9" w:rsidR="009463B9" w:rsidRPr="00F518E4" w:rsidRDefault="00D07493" w:rsidP="00171566">
      <w:pPr>
        <w:spacing w:line="480" w:lineRule="auto"/>
        <w:rPr>
          <w:rFonts w:ascii="Times New Roman" w:hAnsi="Times New Roman" w:cs="Times New Roman"/>
        </w:rPr>
      </w:pPr>
      <w:r w:rsidRPr="00F518E4">
        <w:rPr>
          <w:rFonts w:ascii="Times New Roman" w:hAnsi="Times New Roman" w:cs="Times New Roman"/>
        </w:rPr>
        <w:t xml:space="preserve">At </w:t>
      </w:r>
      <w:r w:rsidR="009463B9" w:rsidRPr="00F518E4">
        <w:rPr>
          <w:rFonts w:ascii="Times New Roman" w:hAnsi="Times New Roman" w:cs="Times New Roman"/>
        </w:rPr>
        <w:t>1</w:t>
      </w:r>
      <w:r w:rsidRPr="00F518E4">
        <w:rPr>
          <w:rFonts w:ascii="Times New Roman" w:hAnsi="Times New Roman" w:cs="Times New Roman"/>
        </w:rPr>
        <w:t xml:space="preserve">% </w:t>
      </w:r>
      <w:r w:rsidR="009463B9" w:rsidRPr="00F518E4">
        <w:rPr>
          <w:rFonts w:ascii="Times New Roman" w:hAnsi="Times New Roman" w:cs="Times New Roman"/>
        </w:rPr>
        <w:t>significant</w:t>
      </w:r>
      <w:r w:rsidRPr="00F518E4">
        <w:rPr>
          <w:rFonts w:ascii="Times New Roman" w:hAnsi="Times New Roman" w:cs="Times New Roman"/>
        </w:rPr>
        <w:t xml:space="preserve"> level, the model </w:t>
      </w:r>
      <w:r w:rsidR="009463B9" w:rsidRPr="00F518E4">
        <w:rPr>
          <w:rFonts w:ascii="Times New Roman" w:hAnsi="Times New Roman" w:cs="Times New Roman"/>
        </w:rPr>
        <w:t xml:space="preserve">returns </w:t>
      </w:r>
      <w:proofErr w:type="spellStart"/>
      <w:proofErr w:type="gramStart"/>
      <w:r w:rsidR="009463B9" w:rsidRPr="00F518E4">
        <w:rPr>
          <w:rFonts w:ascii="Times New Roman" w:hAnsi="Times New Roman" w:cs="Times New Roman"/>
        </w:rPr>
        <w:t>a</w:t>
      </w:r>
      <w:proofErr w:type="spellEnd"/>
      <w:proofErr w:type="gramEnd"/>
      <w:r w:rsidR="009463B9" w:rsidRPr="00F518E4">
        <w:rPr>
          <w:rFonts w:ascii="Times New Roman" w:hAnsi="Times New Roman" w:cs="Times New Roman"/>
        </w:rPr>
        <w:t> extremely small P-value of the F-test (0.00</w:t>
      </w:r>
      <w:r w:rsidR="004060DD" w:rsidRPr="00F518E4">
        <w:rPr>
          <w:rFonts w:ascii="Times New Roman" w:hAnsi="Times New Roman" w:cs="Times New Roman"/>
        </w:rPr>
        <w:t>0</w:t>
      </w:r>
      <w:r w:rsidR="009463B9" w:rsidRPr="00F518E4">
        <w:rPr>
          <w:rFonts w:ascii="Times New Roman" w:hAnsi="Times New Roman" w:cs="Times New Roman"/>
        </w:rPr>
        <w:t>)</w:t>
      </w:r>
      <w:r w:rsidR="000614F2" w:rsidRPr="00F518E4">
        <w:rPr>
          <w:rFonts w:ascii="Times New Roman" w:hAnsi="Times New Roman" w:cs="Times New Roman"/>
        </w:rPr>
        <w:t xml:space="preserve">. </w:t>
      </w:r>
      <w:proofErr w:type="gramStart"/>
      <w:r w:rsidR="000614F2" w:rsidRPr="00F518E4">
        <w:rPr>
          <w:rFonts w:ascii="Times New Roman" w:hAnsi="Times New Roman" w:cs="Times New Roman"/>
        </w:rPr>
        <w:t>Thus</w:t>
      </w:r>
      <w:proofErr w:type="gramEnd"/>
      <w:r w:rsidR="000614F2" w:rsidRPr="00F518E4">
        <w:rPr>
          <w:rFonts w:ascii="Times New Roman" w:hAnsi="Times New Roman" w:cs="Times New Roman"/>
        </w:rPr>
        <w:t xml:space="preserve"> we have 99% confidence to reject the null hypothesis</w:t>
      </w:r>
      <w:r w:rsidR="009463B9" w:rsidRPr="00F518E4">
        <w:rPr>
          <w:rFonts w:ascii="Times New Roman" w:hAnsi="Times New Roman" w:cs="Times New Roman"/>
        </w:rPr>
        <w:t>,</w:t>
      </w:r>
      <w:r w:rsidR="000614F2" w:rsidRPr="00F518E4">
        <w:rPr>
          <w:rFonts w:ascii="Times New Roman" w:hAnsi="Times New Roman" w:cs="Times New Roman"/>
        </w:rPr>
        <w:t xml:space="preserve"> </w:t>
      </w:r>
      <w:r w:rsidR="009463B9" w:rsidRPr="00F518E4">
        <w:rPr>
          <w:rFonts w:ascii="Times New Roman" w:hAnsi="Times New Roman" w:cs="Times New Roman"/>
        </w:rPr>
        <w:t>and conclude that at least one variable in the model is statistically significant. Additionally, the R-squared of 0.8</w:t>
      </w:r>
      <w:r w:rsidR="0068274C" w:rsidRPr="00F518E4">
        <w:rPr>
          <w:rFonts w:ascii="Times New Roman" w:hAnsi="Times New Roman" w:cs="Times New Roman"/>
        </w:rPr>
        <w:t>69</w:t>
      </w:r>
      <w:r w:rsidR="009463B9" w:rsidRPr="00F518E4">
        <w:rPr>
          <w:rFonts w:ascii="Times New Roman" w:hAnsi="Times New Roman" w:cs="Times New Roman"/>
        </w:rPr>
        <w:t xml:space="preserve"> suggests most of the variation in ROE can be explained by the model. Meanwhile, the Rooted Mean Squared Error (RMSE) of 2.5</w:t>
      </w:r>
      <w:r w:rsidR="004060DD" w:rsidRPr="00F518E4">
        <w:rPr>
          <w:rFonts w:ascii="Times New Roman" w:hAnsi="Times New Roman" w:cs="Times New Roman"/>
        </w:rPr>
        <w:t>58</w:t>
      </w:r>
      <w:r w:rsidR="009463B9" w:rsidRPr="00F518E4">
        <w:rPr>
          <w:rFonts w:ascii="Times New Roman" w:hAnsi="Times New Roman" w:cs="Times New Roman"/>
        </w:rPr>
        <w:t xml:space="preserve"> is reasonably small, further validating reliability of this model, demonstrating a strong fit.</w:t>
      </w:r>
    </w:p>
    <w:p w14:paraId="2F6603F9" w14:textId="41C54D80" w:rsidR="009463B9" w:rsidRPr="00F518E4" w:rsidRDefault="009463B9" w:rsidP="00171566">
      <w:pPr>
        <w:spacing w:line="480" w:lineRule="auto"/>
        <w:rPr>
          <w:rFonts w:ascii="Times New Roman" w:hAnsi="Times New Roman" w:cs="Times New Roman"/>
        </w:rPr>
      </w:pPr>
      <w:r w:rsidRPr="00F518E4">
        <w:rPr>
          <w:rFonts w:ascii="Times New Roman" w:hAnsi="Times New Roman" w:cs="Times New Roman"/>
          <w:i/>
          <w:iCs/>
        </w:rPr>
        <w:t>Key Parameters</w:t>
      </w:r>
    </w:p>
    <w:p w14:paraId="62D7FB58" w14:textId="04E96E79" w:rsidR="000614F2" w:rsidRPr="00F518E4" w:rsidRDefault="0068274C" w:rsidP="00171566">
      <w:pPr>
        <w:spacing w:line="480" w:lineRule="auto"/>
        <w:rPr>
          <w:rFonts w:ascii="Times New Roman" w:hAnsi="Times New Roman" w:cs="Times New Roman"/>
        </w:rPr>
      </w:pPr>
      <w:r w:rsidRPr="00F518E4">
        <w:rPr>
          <w:rFonts w:ascii="Times New Roman" w:hAnsi="Times New Roman" w:cs="Times New Roman"/>
          <w:noProof/>
        </w:rPr>
        <w:drawing>
          <wp:inline distT="0" distB="0" distL="0" distR="0" wp14:anchorId="16B0FDE6" wp14:editId="0B6A1E5B">
            <wp:extent cx="2868679" cy="3345873"/>
            <wp:effectExtent l="0" t="0" r="1905" b="0"/>
            <wp:docPr id="195148512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85122" name="Picture 1" descr="A close-up of a docume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2273" cy="3373392"/>
                    </a:xfrm>
                    <a:prstGeom prst="rect">
                      <a:avLst/>
                    </a:prstGeom>
                  </pic:spPr>
                </pic:pic>
              </a:graphicData>
            </a:graphic>
          </wp:inline>
        </w:drawing>
      </w:r>
      <w:r w:rsidR="00BE3B03" w:rsidRPr="00F518E4">
        <w:rPr>
          <w:rFonts w:ascii="Times New Roman" w:hAnsi="Times New Roman" w:cs="Times New Roman"/>
        </w:rPr>
        <w:t xml:space="preserve">   </w:t>
      </w:r>
      <w:r w:rsidR="009F4DCA" w:rsidRPr="00F518E4">
        <w:rPr>
          <w:rFonts w:ascii="Times New Roman" w:hAnsi="Times New Roman" w:cs="Times New Roman"/>
          <w:noProof/>
        </w:rPr>
        <w:drawing>
          <wp:inline distT="0" distB="0" distL="0" distR="0" wp14:anchorId="6ED4D880" wp14:editId="17E33D96">
            <wp:extent cx="2941202" cy="1754304"/>
            <wp:effectExtent l="0" t="0" r="5715" b="0"/>
            <wp:docPr id="130815824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8247" name="Picture 2" descr="A graph with a line&#10;&#10;Description automatically generated"/>
                    <pic:cNvPicPr/>
                  </pic:nvPicPr>
                  <pic:blipFill rotWithShape="1">
                    <a:blip r:embed="rId12" cstate="print">
                      <a:extLst>
                        <a:ext uri="{28A0092B-C50C-407E-A947-70E740481C1C}">
                          <a14:useLocalDpi xmlns:a14="http://schemas.microsoft.com/office/drawing/2010/main" val="0"/>
                        </a:ext>
                      </a:extLst>
                    </a:blip>
                    <a:srcRect l="3821" r="79" b="3453"/>
                    <a:stretch/>
                  </pic:blipFill>
                  <pic:spPr bwMode="auto">
                    <a:xfrm>
                      <a:off x="0" y="0"/>
                      <a:ext cx="2988425" cy="1782471"/>
                    </a:xfrm>
                    <a:prstGeom prst="rect">
                      <a:avLst/>
                    </a:prstGeom>
                    <a:ln>
                      <a:noFill/>
                    </a:ln>
                    <a:extLst>
                      <a:ext uri="{53640926-AAD7-44D8-BBD7-CCE9431645EC}">
                        <a14:shadowObscured xmlns:a14="http://schemas.microsoft.com/office/drawing/2010/main"/>
                      </a:ext>
                    </a:extLst>
                  </pic:spPr>
                </pic:pic>
              </a:graphicData>
            </a:graphic>
          </wp:inline>
        </w:drawing>
      </w:r>
    </w:p>
    <w:p w14:paraId="4B0845C9" w14:textId="1441A874" w:rsidR="0037056F" w:rsidRPr="00F518E4" w:rsidRDefault="009F4DCA" w:rsidP="00171566">
      <w:pPr>
        <w:spacing w:line="480" w:lineRule="auto"/>
        <w:rPr>
          <w:rFonts w:ascii="Times New Roman" w:hAnsi="Times New Roman" w:cs="Times New Roman"/>
        </w:rPr>
      </w:pPr>
      <w:r w:rsidRPr="00F518E4">
        <w:rPr>
          <w:rFonts w:ascii="Times New Roman" w:hAnsi="Times New Roman" w:cs="Times New Roman"/>
        </w:rPr>
        <w:t xml:space="preserve">The </w:t>
      </w:r>
      <w:r w:rsidR="00BE3B03" w:rsidRPr="00F518E4">
        <w:rPr>
          <w:rFonts w:ascii="Times New Roman" w:hAnsi="Times New Roman" w:cs="Times New Roman"/>
        </w:rPr>
        <w:t>s</w:t>
      </w:r>
      <w:r w:rsidRPr="00F518E4">
        <w:rPr>
          <w:rFonts w:ascii="Times New Roman" w:hAnsi="Times New Roman" w:cs="Times New Roman"/>
        </w:rPr>
        <w:t xml:space="preserve">tatistical </w:t>
      </w:r>
      <w:r w:rsidR="00BE3B03" w:rsidRPr="00F518E4">
        <w:rPr>
          <w:rFonts w:ascii="Times New Roman" w:hAnsi="Times New Roman" w:cs="Times New Roman"/>
        </w:rPr>
        <w:t>summary table shows that at the</w:t>
      </w:r>
      <w:r w:rsidR="004060DD" w:rsidRPr="00F518E4">
        <w:rPr>
          <w:rFonts w:ascii="Times New Roman" w:hAnsi="Times New Roman" w:cs="Times New Roman"/>
        </w:rPr>
        <w:t xml:space="preserve"> 0.01 significant level, the DID estimator</w:t>
      </w:r>
      <w:r w:rsidR="00316050" w:rsidRPr="00F518E4">
        <w:rPr>
          <w:rFonts w:ascii="Times New Roman" w:hAnsi="Times New Roman" w:cs="Times New Roman"/>
        </w:rPr>
        <w:t xml:space="preserve"> (TP) </w:t>
      </w:r>
      <w:r w:rsidR="004060DD" w:rsidRPr="00F518E4">
        <w:rPr>
          <w:rFonts w:ascii="Times New Roman" w:hAnsi="Times New Roman" w:cs="Times New Roman"/>
        </w:rPr>
        <w:t>of -2.516</w:t>
      </w:r>
      <w:r w:rsidR="00316050" w:rsidRPr="00F518E4">
        <w:rPr>
          <w:rFonts w:ascii="Times New Roman" w:hAnsi="Times New Roman" w:cs="Times New Roman"/>
        </w:rPr>
        <w:t xml:space="preserve"> </w:t>
      </w:r>
      <w:r w:rsidR="004060DD" w:rsidRPr="00F518E4">
        <w:rPr>
          <w:rFonts w:ascii="Times New Roman" w:hAnsi="Times New Roman" w:cs="Times New Roman"/>
        </w:rPr>
        <w:t xml:space="preserve">shows statistically significant, so we can reject the null hypothesis and conclude </w:t>
      </w:r>
      <w:r w:rsidR="00316050" w:rsidRPr="00F518E4">
        <w:rPr>
          <w:rFonts w:ascii="Times New Roman" w:hAnsi="Times New Roman" w:cs="Times New Roman"/>
        </w:rPr>
        <w:t>a robust negative casual impact of the increased T1CR requirement on ROE. More specifically,</w:t>
      </w:r>
      <w:r w:rsidR="004060DD" w:rsidRPr="00F518E4">
        <w:rPr>
          <w:rFonts w:ascii="Times New Roman" w:hAnsi="Times New Roman" w:cs="Times New Roman"/>
        </w:rPr>
        <w:t xml:space="preserve"> after the </w:t>
      </w:r>
      <w:r w:rsidR="004060DD" w:rsidRPr="00F518E4">
        <w:rPr>
          <w:rFonts w:ascii="Times New Roman" w:hAnsi="Times New Roman" w:cs="Times New Roman"/>
        </w:rPr>
        <w:lastRenderedPageBreak/>
        <w:t>policy change, the</w:t>
      </w:r>
      <w:r w:rsidR="00316050" w:rsidRPr="00F518E4">
        <w:rPr>
          <w:rFonts w:ascii="Times New Roman" w:hAnsi="Times New Roman" w:cs="Times New Roman"/>
        </w:rPr>
        <w:t xml:space="preserve"> ROE among </w:t>
      </w:r>
      <w:r w:rsidR="004060DD" w:rsidRPr="00F518E4">
        <w:rPr>
          <w:rFonts w:ascii="Times New Roman" w:hAnsi="Times New Roman" w:cs="Times New Roman"/>
        </w:rPr>
        <w:t xml:space="preserve">Canadian </w:t>
      </w:r>
      <w:r w:rsidR="00316050" w:rsidRPr="00F518E4">
        <w:rPr>
          <w:rFonts w:ascii="Times New Roman" w:hAnsi="Times New Roman" w:cs="Times New Roman"/>
        </w:rPr>
        <w:t>SIBs,</w:t>
      </w:r>
      <w:r w:rsidR="004060DD" w:rsidRPr="00F518E4">
        <w:rPr>
          <w:rFonts w:ascii="Times New Roman" w:hAnsi="Times New Roman" w:cs="Times New Roman"/>
        </w:rPr>
        <w:t xml:space="preserve"> on average</w:t>
      </w:r>
      <w:r w:rsidR="00316050" w:rsidRPr="00F518E4">
        <w:rPr>
          <w:rFonts w:ascii="Times New Roman" w:hAnsi="Times New Roman" w:cs="Times New Roman"/>
        </w:rPr>
        <w:t>,</w:t>
      </w:r>
      <w:r w:rsidR="004060DD" w:rsidRPr="00F518E4">
        <w:rPr>
          <w:rFonts w:ascii="Times New Roman" w:hAnsi="Times New Roman" w:cs="Times New Roman"/>
        </w:rPr>
        <w:t xml:space="preserve"> decreased by 2.516</w:t>
      </w:r>
      <w:r w:rsidR="00316050" w:rsidRPr="00F518E4">
        <w:rPr>
          <w:rFonts w:ascii="Times New Roman" w:hAnsi="Times New Roman" w:cs="Times New Roman"/>
        </w:rPr>
        <w:t xml:space="preserve"> </w:t>
      </w:r>
      <w:r w:rsidR="004060DD" w:rsidRPr="00F518E4">
        <w:rPr>
          <w:rFonts w:ascii="Times New Roman" w:hAnsi="Times New Roman" w:cs="Times New Roman"/>
        </w:rPr>
        <w:t>percentage points compared to the US SIBs.</w:t>
      </w:r>
      <w:r w:rsidR="00316050" w:rsidRPr="00F518E4">
        <w:rPr>
          <w:rFonts w:ascii="Times New Roman" w:hAnsi="Times New Roman" w:cs="Times New Roman"/>
        </w:rPr>
        <w:t xml:space="preserve"> </w:t>
      </w:r>
      <w:r w:rsidR="00BE3B03" w:rsidRPr="00F518E4">
        <w:rPr>
          <w:rFonts w:ascii="Times New Roman" w:hAnsi="Times New Roman" w:cs="Times New Roman"/>
        </w:rPr>
        <w:t xml:space="preserve">And the graph on the right also validates the casual relation because of the trend that before 2014 the confidence level cover 0 level while after 2014, the confidence deviates.  </w:t>
      </w:r>
      <w:r w:rsidR="00316050" w:rsidRPr="00F518E4">
        <w:rPr>
          <w:rFonts w:ascii="Times New Roman" w:hAnsi="Times New Roman" w:cs="Times New Roman"/>
        </w:rPr>
        <w:t>Furthermore,</w:t>
      </w:r>
      <w:r w:rsidR="007B0C90" w:rsidRPr="00F518E4">
        <w:rPr>
          <w:rFonts w:ascii="Times New Roman" w:hAnsi="Times New Roman" w:cs="Times New Roman"/>
        </w:rPr>
        <w:t xml:space="preserve"> the </w:t>
      </w:r>
      <w:r w:rsidR="005A21F0" w:rsidRPr="00F518E4">
        <w:rPr>
          <w:rFonts w:ascii="Times New Roman" w:hAnsi="Times New Roman" w:cs="Times New Roman"/>
        </w:rPr>
        <w:t xml:space="preserve">coefficients </w:t>
      </w:r>
      <w:r w:rsidR="007B0C90" w:rsidRPr="00F518E4">
        <w:rPr>
          <w:rFonts w:ascii="Times New Roman" w:hAnsi="Times New Roman" w:cs="Times New Roman"/>
        </w:rPr>
        <w:t xml:space="preserve">of Leverage Ratio and adjusted </w:t>
      </w:r>
      <w:r w:rsidR="005A21F0" w:rsidRPr="00F518E4">
        <w:rPr>
          <w:rFonts w:ascii="Times New Roman" w:hAnsi="Times New Roman" w:cs="Times New Roman"/>
        </w:rPr>
        <w:t>EBITDA are</w:t>
      </w:r>
      <w:r w:rsidR="007B0C90" w:rsidRPr="00F518E4">
        <w:rPr>
          <w:rFonts w:ascii="Times New Roman" w:hAnsi="Times New Roman" w:cs="Times New Roman"/>
        </w:rPr>
        <w:t xml:space="preserve"> estimated to be 0.613 and 0.727 respectively, both of which is </w:t>
      </w:r>
      <w:r w:rsidRPr="00F518E4">
        <w:rPr>
          <w:rFonts w:ascii="Times New Roman" w:hAnsi="Times New Roman" w:cs="Times New Roman"/>
        </w:rPr>
        <w:t>statistically</w:t>
      </w:r>
      <w:r w:rsidR="007B0C90" w:rsidRPr="00F518E4">
        <w:rPr>
          <w:rFonts w:ascii="Times New Roman" w:hAnsi="Times New Roman" w:cs="Times New Roman"/>
        </w:rPr>
        <w:t xml:space="preserve"> significant. This suggests that each 1 percentage point increase of Leverage Ratio is associated with 0.613 percentage points increase in the mean ROE and each 1 billion increase of the adjusted EBITDA is associated with 0.727 percentage points increase in the mean ROE. By contrast, neither banks’ market capitalization, the stock price, nor the Tier 1 Capital shows any statistically significant impact on ROE. Among the macroeconomic indicators, only CPI has a </w:t>
      </w:r>
      <w:r w:rsidR="005A21F0" w:rsidRPr="00F518E4">
        <w:rPr>
          <w:rFonts w:ascii="Times New Roman" w:hAnsi="Times New Roman" w:cs="Times New Roman"/>
        </w:rPr>
        <w:t>statistically</w:t>
      </w:r>
      <w:r w:rsidR="007B0C90" w:rsidRPr="00F518E4">
        <w:rPr>
          <w:rFonts w:ascii="Times New Roman" w:hAnsi="Times New Roman" w:cs="Times New Roman"/>
        </w:rPr>
        <w:t xml:space="preserve"> significant estimator of 2.220 rather than GDP or RIR, meaning </w:t>
      </w:r>
      <w:r w:rsidRPr="00F518E4">
        <w:rPr>
          <w:rFonts w:ascii="Times New Roman" w:hAnsi="Times New Roman" w:cs="Times New Roman"/>
        </w:rPr>
        <w:t xml:space="preserve">on average, </w:t>
      </w:r>
      <w:r w:rsidR="005A21F0" w:rsidRPr="00F518E4">
        <w:rPr>
          <w:rFonts w:ascii="Times New Roman" w:hAnsi="Times New Roman" w:cs="Times New Roman"/>
        </w:rPr>
        <w:t>a</w:t>
      </w:r>
      <w:r w:rsidRPr="00F518E4">
        <w:rPr>
          <w:rFonts w:ascii="Times New Roman" w:hAnsi="Times New Roman" w:cs="Times New Roman"/>
        </w:rPr>
        <w:t>n increase of</w:t>
      </w:r>
      <w:r w:rsidR="005A21F0" w:rsidRPr="00F518E4">
        <w:rPr>
          <w:rFonts w:ascii="Times New Roman" w:hAnsi="Times New Roman" w:cs="Times New Roman"/>
        </w:rPr>
        <w:t xml:space="preserve"> </w:t>
      </w:r>
      <w:r w:rsidRPr="00F518E4">
        <w:rPr>
          <w:rFonts w:ascii="Times New Roman" w:hAnsi="Times New Roman" w:cs="Times New Roman"/>
        </w:rPr>
        <w:t xml:space="preserve">1 point on the CPI index </w:t>
      </w:r>
      <w:r w:rsidR="005A21F0" w:rsidRPr="00F518E4">
        <w:rPr>
          <w:rFonts w:ascii="Times New Roman" w:hAnsi="Times New Roman" w:cs="Times New Roman"/>
        </w:rPr>
        <w:t>leads to an estimated 2.22</w:t>
      </w:r>
      <w:r w:rsidR="001D7215" w:rsidRPr="00F518E4">
        <w:rPr>
          <w:rFonts w:ascii="Times New Roman" w:hAnsi="Times New Roman" w:cs="Times New Roman"/>
        </w:rPr>
        <w:t>0</w:t>
      </w:r>
      <w:r w:rsidR="005A21F0" w:rsidRPr="00F518E4">
        <w:rPr>
          <w:rFonts w:ascii="Times New Roman" w:hAnsi="Times New Roman" w:cs="Times New Roman"/>
        </w:rPr>
        <w:t xml:space="preserve"> percentage point increase in ROE.</w:t>
      </w:r>
    </w:p>
    <w:p w14:paraId="033E138C" w14:textId="7F0A2386" w:rsidR="0037056F" w:rsidRPr="00F518E4" w:rsidRDefault="0073312C" w:rsidP="009F4DCA">
      <w:pPr>
        <w:spacing w:line="480" w:lineRule="auto"/>
        <w:rPr>
          <w:rFonts w:ascii="Times New Roman" w:hAnsi="Times New Roman" w:cs="Times New Roman"/>
          <w:lang w:val="en-US"/>
        </w:rPr>
      </w:pPr>
      <w:commentRangeStart w:id="1"/>
      <w:r w:rsidRPr="00F518E4">
        <w:rPr>
          <w:rFonts w:ascii="Times New Roman" w:hAnsi="Times New Roman" w:cs="Times New Roman"/>
          <w:lang w:val="en-US"/>
        </w:rPr>
        <w:t>Interpretation</w:t>
      </w:r>
      <w:commentRangeEnd w:id="1"/>
      <w:r w:rsidR="00AD0BC9" w:rsidRPr="00F518E4">
        <w:rPr>
          <w:rStyle w:val="CommentReference"/>
          <w:rFonts w:ascii="Times New Roman" w:hAnsi="Times New Roman" w:cs="Times New Roman"/>
        </w:rPr>
        <w:commentReference w:id="1"/>
      </w:r>
    </w:p>
    <w:p w14:paraId="3A24E8F8" w14:textId="3E97FA58" w:rsidR="00184677" w:rsidRPr="00F518E4" w:rsidRDefault="00184677" w:rsidP="00171566">
      <w:pPr>
        <w:spacing w:line="480" w:lineRule="auto"/>
        <w:rPr>
          <w:rFonts w:ascii="Times New Roman" w:eastAsia="Times New Roman" w:hAnsi="Times New Roman" w:cs="Times New Roman"/>
          <w:i/>
          <w:iCs/>
          <w:color w:val="404040"/>
          <w:kern w:val="0"/>
          <w14:ligatures w14:val="none"/>
        </w:rPr>
      </w:pPr>
      <w:r w:rsidRPr="00F518E4">
        <w:rPr>
          <w:rFonts w:ascii="Times New Roman" w:eastAsia="Times New Roman" w:hAnsi="Times New Roman" w:cs="Times New Roman"/>
          <w:i/>
          <w:iCs/>
          <w:color w:val="404040"/>
          <w:kern w:val="0"/>
          <w14:ligatures w14:val="none"/>
        </w:rPr>
        <w:t xml:space="preserve">Comparison </w:t>
      </w:r>
    </w:p>
    <w:p w14:paraId="19525474" w14:textId="52FF2ADF" w:rsidR="00C01748" w:rsidRPr="00F518E4" w:rsidRDefault="00C01748" w:rsidP="00171566">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color w:val="404040"/>
          <w:kern w:val="0"/>
          <w14:ligatures w14:val="none"/>
        </w:rPr>
        <w:t xml:space="preserve">The result of the negative </w:t>
      </w:r>
      <w:r w:rsidR="009F4DCA" w:rsidRPr="00F518E4">
        <w:rPr>
          <w:rFonts w:ascii="Times New Roman" w:eastAsia="Times New Roman" w:hAnsi="Times New Roman" w:cs="Times New Roman"/>
          <w:color w:val="404040"/>
          <w:kern w:val="0"/>
          <w14:ligatures w14:val="none"/>
        </w:rPr>
        <w:t>casual relation</w:t>
      </w:r>
      <w:r w:rsidRPr="00F518E4">
        <w:rPr>
          <w:rFonts w:ascii="Times New Roman" w:eastAsia="Times New Roman" w:hAnsi="Times New Roman" w:cs="Times New Roman"/>
          <w:color w:val="404040"/>
          <w:kern w:val="0"/>
          <w14:ligatures w14:val="none"/>
        </w:rPr>
        <w:t xml:space="preserve"> between </w:t>
      </w:r>
      <w:r w:rsidR="009F4DCA" w:rsidRPr="00F518E4">
        <w:rPr>
          <w:rFonts w:ascii="Times New Roman" w:eastAsia="Times New Roman" w:hAnsi="Times New Roman" w:cs="Times New Roman"/>
          <w:color w:val="404040"/>
          <w:kern w:val="0"/>
          <w14:ligatures w14:val="none"/>
        </w:rPr>
        <w:t>a raise in T1CR requirement</w:t>
      </w:r>
      <w:r w:rsidRPr="00F518E4">
        <w:rPr>
          <w:rFonts w:ascii="Times New Roman" w:eastAsia="Times New Roman" w:hAnsi="Times New Roman" w:cs="Times New Roman"/>
          <w:color w:val="404040"/>
          <w:kern w:val="0"/>
          <w14:ligatures w14:val="none"/>
        </w:rPr>
        <w:t xml:space="preserve"> and the bank performance aligns with the findings by Le, Nasir, and Huynh who state that at the significant level of 1%, ROE drops 1</w:t>
      </w:r>
      <w:r w:rsidR="009F4DCA" w:rsidRPr="00F518E4">
        <w:rPr>
          <w:rFonts w:ascii="Times New Roman" w:eastAsia="Times New Roman" w:hAnsi="Times New Roman" w:cs="Times New Roman"/>
          <w:color w:val="404040"/>
          <w:kern w:val="0"/>
          <w14:ligatures w14:val="none"/>
        </w:rPr>
        <w:t xml:space="preserve"> percentage point</w:t>
      </w:r>
      <w:r w:rsidRPr="00F518E4">
        <w:rPr>
          <w:rFonts w:ascii="Times New Roman" w:eastAsia="Times New Roman" w:hAnsi="Times New Roman" w:cs="Times New Roman"/>
          <w:color w:val="404040"/>
          <w:kern w:val="0"/>
          <w14:ligatures w14:val="none"/>
        </w:rPr>
        <w:t xml:space="preserve"> due to Capital Ratio rise by 0.87 % in Australia. However, this change is smaller than what we find in this study. This may be because Canadian banks traditionally operate with higher leverage, so even small changes in capital ratios can have a larger impact on their </w:t>
      </w:r>
      <w:r w:rsidR="009F4DCA" w:rsidRPr="00F518E4">
        <w:rPr>
          <w:rFonts w:ascii="Times New Roman" w:eastAsia="Times New Roman" w:hAnsi="Times New Roman" w:cs="Times New Roman"/>
          <w:color w:val="404040"/>
          <w:kern w:val="0"/>
          <w14:ligatures w14:val="none"/>
        </w:rPr>
        <w:t>ROE</w:t>
      </w:r>
      <w:r w:rsidRPr="00F518E4">
        <w:rPr>
          <w:rFonts w:ascii="Times New Roman" w:eastAsia="Times New Roman" w:hAnsi="Times New Roman" w:cs="Times New Roman"/>
          <w:color w:val="404040"/>
          <w:kern w:val="0"/>
          <w14:ligatures w14:val="none"/>
        </w:rPr>
        <w:t xml:space="preserve"> because their equity base is relatively smaller relative to their assets.</w:t>
      </w:r>
    </w:p>
    <w:p w14:paraId="3202B7DC" w14:textId="766199B3" w:rsidR="00C21E99" w:rsidRPr="00F518E4" w:rsidRDefault="00C21E99" w:rsidP="00171566">
      <w:pPr>
        <w:spacing w:line="480" w:lineRule="auto"/>
        <w:rPr>
          <w:rFonts w:ascii="Times New Roman" w:eastAsia="Times New Roman" w:hAnsi="Times New Roman" w:cs="Times New Roman"/>
          <w:i/>
          <w:iCs/>
          <w:color w:val="404040"/>
          <w:kern w:val="0"/>
          <w14:ligatures w14:val="none"/>
        </w:rPr>
      </w:pPr>
      <w:r w:rsidRPr="00F518E4">
        <w:rPr>
          <w:rFonts w:ascii="Times New Roman" w:eastAsia="Times New Roman" w:hAnsi="Times New Roman" w:cs="Times New Roman"/>
          <w:i/>
          <w:iCs/>
          <w:color w:val="404040"/>
          <w:kern w:val="0"/>
          <w14:ligatures w14:val="none"/>
        </w:rPr>
        <w:t>Bias</w:t>
      </w:r>
    </w:p>
    <w:p w14:paraId="0C9C1EF5" w14:textId="161A6D06" w:rsidR="00BE3B03" w:rsidRPr="00F518E4" w:rsidRDefault="00C01748" w:rsidP="00171566">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color w:val="404040"/>
          <w:kern w:val="0"/>
          <w14:ligatures w14:val="none"/>
        </w:rPr>
        <w:lastRenderedPageBreak/>
        <w:t xml:space="preserve">The </w:t>
      </w:r>
      <w:proofErr w:type="spellStart"/>
      <w:r w:rsidRPr="00F518E4">
        <w:rPr>
          <w:rFonts w:ascii="Times New Roman" w:eastAsia="Times New Roman" w:hAnsi="Times New Roman" w:cs="Times New Roman"/>
          <w:color w:val="404040"/>
          <w:kern w:val="0"/>
          <w14:ligatures w14:val="none"/>
        </w:rPr>
        <w:t>DiD</w:t>
      </w:r>
      <w:proofErr w:type="spellEnd"/>
      <w:r w:rsidRPr="00F518E4">
        <w:rPr>
          <w:rFonts w:ascii="Times New Roman" w:eastAsia="Times New Roman" w:hAnsi="Times New Roman" w:cs="Times New Roman"/>
          <w:color w:val="404040"/>
          <w:kern w:val="0"/>
          <w14:ligatures w14:val="none"/>
        </w:rPr>
        <w:t xml:space="preserve"> estimator relies on the parallel trends assumption, that is, prior to the implementation of the new regulation in Canada, the return on equity (ROE) of Canadian banks should have followed a similar trend to that of </w:t>
      </w:r>
      <w:r w:rsidR="00BE3B03" w:rsidRPr="00F518E4">
        <w:rPr>
          <w:rFonts w:ascii="Times New Roman" w:eastAsia="Times New Roman" w:hAnsi="Times New Roman" w:cs="Times New Roman"/>
          <w:color w:val="404040"/>
          <w:kern w:val="0"/>
          <w14:ligatures w14:val="none"/>
        </w:rPr>
        <w:t xml:space="preserve">US </w:t>
      </w:r>
      <w:r w:rsidRPr="00F518E4">
        <w:rPr>
          <w:rFonts w:ascii="Times New Roman" w:eastAsia="Times New Roman" w:hAnsi="Times New Roman" w:cs="Times New Roman"/>
          <w:color w:val="404040"/>
          <w:kern w:val="0"/>
          <w14:ligatures w14:val="none"/>
        </w:rPr>
        <w:t>banks unaffected by the policy change</w:t>
      </w:r>
      <w:r w:rsidR="00BE3B03" w:rsidRPr="00F518E4">
        <w:rPr>
          <w:rFonts w:ascii="Times New Roman" w:eastAsia="Times New Roman" w:hAnsi="Times New Roman" w:cs="Times New Roman"/>
          <w:color w:val="404040"/>
          <w:kern w:val="0"/>
          <w14:ligatures w14:val="none"/>
        </w:rPr>
        <w:t xml:space="preserve"> in the control group</w:t>
      </w:r>
      <w:r w:rsidRPr="00F518E4">
        <w:rPr>
          <w:rFonts w:ascii="Times New Roman" w:eastAsia="Times New Roman" w:hAnsi="Times New Roman" w:cs="Times New Roman"/>
          <w:color w:val="404040"/>
          <w:kern w:val="0"/>
          <w14:ligatures w14:val="none"/>
        </w:rPr>
        <w:t>. This assumption strengthens the impact</w:t>
      </w:r>
      <w:r w:rsidR="00BE3B03" w:rsidRPr="00F518E4">
        <w:rPr>
          <w:rFonts w:ascii="Times New Roman" w:eastAsia="Times New Roman" w:hAnsi="Times New Roman" w:cs="Times New Roman"/>
          <w:color w:val="404040"/>
          <w:kern w:val="0"/>
          <w14:ligatures w14:val="none"/>
        </w:rPr>
        <w:t xml:space="preserve"> of the policy change</w:t>
      </w:r>
      <w:r w:rsidRPr="00F518E4">
        <w:rPr>
          <w:rFonts w:ascii="Times New Roman" w:eastAsia="Times New Roman" w:hAnsi="Times New Roman" w:cs="Times New Roman"/>
          <w:color w:val="404040"/>
          <w:kern w:val="0"/>
          <w14:ligatures w14:val="none"/>
        </w:rPr>
        <w:t xml:space="preserve"> on the bank’s performance rather than other external factors. </w:t>
      </w:r>
      <w:r w:rsidR="00BE3B03" w:rsidRPr="00F518E4">
        <w:rPr>
          <w:rFonts w:ascii="Times New Roman" w:eastAsia="Times New Roman" w:hAnsi="Times New Roman" w:cs="Times New Roman"/>
          <w:color w:val="404040"/>
          <w:kern w:val="0"/>
          <w14:ligatures w14:val="none"/>
        </w:rPr>
        <w:t>The trend is addressed as follow:</w:t>
      </w:r>
    </w:p>
    <w:p w14:paraId="32FA6843" w14:textId="3B658A25" w:rsidR="00BE3B03" w:rsidRPr="00F518E4" w:rsidRDefault="00BE3B03" w:rsidP="00171566">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noProof/>
          <w:color w:val="404040"/>
          <w:kern w:val="0"/>
        </w:rPr>
        <w:drawing>
          <wp:inline distT="0" distB="0" distL="0" distR="0" wp14:anchorId="4511DFCB" wp14:editId="5E0EEC44">
            <wp:extent cx="4338084" cy="2602850"/>
            <wp:effectExtent l="0" t="0" r="5715" b="1270"/>
            <wp:docPr id="1248547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47186" name="Picture 1248547186"/>
                    <pic:cNvPicPr/>
                  </pic:nvPicPr>
                  <pic:blipFill>
                    <a:blip r:embed="rId13"/>
                    <a:stretch>
                      <a:fillRect/>
                    </a:stretch>
                  </pic:blipFill>
                  <pic:spPr>
                    <a:xfrm>
                      <a:off x="0" y="0"/>
                      <a:ext cx="4371870" cy="2623122"/>
                    </a:xfrm>
                    <a:prstGeom prst="rect">
                      <a:avLst/>
                    </a:prstGeom>
                  </pic:spPr>
                </pic:pic>
              </a:graphicData>
            </a:graphic>
          </wp:inline>
        </w:drawing>
      </w:r>
    </w:p>
    <w:p w14:paraId="511B8C31" w14:textId="77777777" w:rsidR="0019332D" w:rsidRPr="00F518E4" w:rsidRDefault="00BE3B03" w:rsidP="00171566">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color w:val="404040"/>
          <w:kern w:val="0"/>
          <w14:ligatures w14:val="none"/>
        </w:rPr>
        <w:t>According to this graph, it’s unfortunately that the parallel trend assumption does not hold in this study—in fact the pre policy trend shows a contrast direction, where the mean ROE among the Canadian SIBs decreased but the increase among the US SIBs. This could lead to an overestimation of the negative impact of the increased T1CR requirement on ROE, c</w:t>
      </w:r>
      <w:r w:rsidR="00C01748" w:rsidRPr="00F518E4">
        <w:rPr>
          <w:rFonts w:ascii="Times New Roman" w:eastAsia="Times New Roman" w:hAnsi="Times New Roman" w:cs="Times New Roman"/>
          <w:color w:val="404040"/>
          <w:kern w:val="0"/>
          <w14:ligatures w14:val="none"/>
        </w:rPr>
        <w:t xml:space="preserve">asting doubt on the reliability </w:t>
      </w:r>
      <w:r w:rsidRPr="00F518E4">
        <w:rPr>
          <w:rFonts w:ascii="Times New Roman" w:eastAsia="Times New Roman" w:hAnsi="Times New Roman" w:cs="Times New Roman"/>
          <w:color w:val="404040"/>
          <w:kern w:val="0"/>
          <w14:ligatures w14:val="none"/>
        </w:rPr>
        <w:t xml:space="preserve">of this </w:t>
      </w:r>
      <w:proofErr w:type="spellStart"/>
      <w:r w:rsidR="00016A2F" w:rsidRPr="00F518E4">
        <w:rPr>
          <w:rFonts w:ascii="Times New Roman" w:eastAsia="Times New Roman" w:hAnsi="Times New Roman" w:cs="Times New Roman"/>
          <w:color w:val="404040"/>
          <w:kern w:val="0"/>
          <w14:ligatures w14:val="none"/>
        </w:rPr>
        <w:t>DiD</w:t>
      </w:r>
      <w:proofErr w:type="spellEnd"/>
      <w:r w:rsidR="00016A2F" w:rsidRPr="00F518E4">
        <w:rPr>
          <w:rFonts w:ascii="Times New Roman" w:eastAsia="Times New Roman" w:hAnsi="Times New Roman" w:cs="Times New Roman"/>
          <w:color w:val="404040"/>
          <w:kern w:val="0"/>
          <w14:ligatures w14:val="none"/>
        </w:rPr>
        <w:t xml:space="preserve"> model. </w:t>
      </w:r>
    </w:p>
    <w:p w14:paraId="490D8A66" w14:textId="77777777" w:rsidR="00195B99" w:rsidRPr="00F518E4" w:rsidRDefault="0019332D" w:rsidP="00171566">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color w:val="404040"/>
          <w:kern w:val="0"/>
          <w14:ligatures w14:val="none"/>
        </w:rPr>
        <w:t>This can be explained by the main reversion theory, which</w:t>
      </w:r>
      <w:r w:rsidRPr="00F518E4">
        <w:rPr>
          <w:rFonts w:ascii="Times New Roman" w:hAnsi="Times New Roman" w:cs="Times New Roman"/>
        </w:rPr>
        <w:t xml:space="preserve"> </w:t>
      </w:r>
      <w:r w:rsidRPr="00F518E4">
        <w:rPr>
          <w:rFonts w:ascii="Times New Roman" w:eastAsia="Times New Roman" w:hAnsi="Times New Roman" w:cs="Times New Roman"/>
          <w:color w:val="404040"/>
          <w:kern w:val="0"/>
          <w14:ligatures w14:val="none"/>
        </w:rPr>
        <w:t xml:space="preserve">suggest that over time the mean ROE among the US SIBs will decline back toward its historical norm, which I higher than the base year of 2011. The biggest motivator can be that </w:t>
      </w:r>
      <w:r w:rsidR="00016A2F" w:rsidRPr="00F518E4">
        <w:rPr>
          <w:rFonts w:ascii="Times New Roman" w:eastAsia="Times New Roman" w:hAnsi="Times New Roman" w:cs="Times New Roman"/>
          <w:color w:val="404040"/>
          <w:kern w:val="0"/>
          <w14:ligatures w14:val="none"/>
        </w:rPr>
        <w:t xml:space="preserve">US banks are still in the recovery progress from the aftermath in the financial crisis in after 2008. Since the crisis was initiated exactly in the US because of the failure among US financial insinuations, it in general deteriorates the US SIBs </w:t>
      </w:r>
      <w:r w:rsidR="00016A2F" w:rsidRPr="00F518E4">
        <w:rPr>
          <w:rFonts w:ascii="Times New Roman" w:eastAsia="Times New Roman" w:hAnsi="Times New Roman" w:cs="Times New Roman"/>
          <w:color w:val="404040"/>
          <w:kern w:val="0"/>
          <w14:ligatures w14:val="none"/>
        </w:rPr>
        <w:lastRenderedPageBreak/>
        <w:t xml:space="preserve">more than Canadian SIBs. </w:t>
      </w:r>
      <w:proofErr w:type="gramStart"/>
      <w:r w:rsidR="00016A2F" w:rsidRPr="00F518E4">
        <w:rPr>
          <w:rFonts w:ascii="Times New Roman" w:eastAsia="Times New Roman" w:hAnsi="Times New Roman" w:cs="Times New Roman"/>
          <w:color w:val="404040"/>
          <w:kern w:val="0"/>
          <w14:ligatures w14:val="none"/>
        </w:rPr>
        <w:t>Thus</w:t>
      </w:r>
      <w:proofErr w:type="gramEnd"/>
      <w:r w:rsidR="00016A2F" w:rsidRPr="00F518E4">
        <w:rPr>
          <w:rFonts w:ascii="Times New Roman" w:eastAsia="Times New Roman" w:hAnsi="Times New Roman" w:cs="Times New Roman"/>
          <w:color w:val="404040"/>
          <w:kern w:val="0"/>
          <w14:ligatures w14:val="none"/>
        </w:rPr>
        <w:t xml:space="preserve"> it takes US banks more years to recovery when the performance is gradually getting better, leading to an increasing ROE continuously after 2010. However, since the Canadian SIBs shows resilient, </w:t>
      </w:r>
      <w:r w:rsidR="00250D2C" w:rsidRPr="00F518E4">
        <w:rPr>
          <w:rFonts w:ascii="Times New Roman" w:eastAsia="Times New Roman" w:hAnsi="Times New Roman" w:cs="Times New Roman"/>
          <w:color w:val="404040"/>
          <w:kern w:val="0"/>
          <w14:ligatures w14:val="none"/>
        </w:rPr>
        <w:t xml:space="preserve">making the </w:t>
      </w:r>
      <w:r w:rsidR="00A14F74" w:rsidRPr="00F518E4">
        <w:rPr>
          <w:rFonts w:ascii="Times New Roman" w:eastAsia="Times New Roman" w:hAnsi="Times New Roman" w:cs="Times New Roman"/>
          <w:color w:val="404040"/>
          <w:kern w:val="0"/>
          <w14:ligatures w14:val="none"/>
        </w:rPr>
        <w:t xml:space="preserve">prolong </w:t>
      </w:r>
      <w:r w:rsidR="00250D2C" w:rsidRPr="00F518E4">
        <w:rPr>
          <w:rFonts w:ascii="Times New Roman" w:eastAsia="Times New Roman" w:hAnsi="Times New Roman" w:cs="Times New Roman"/>
          <w:color w:val="404040"/>
          <w:kern w:val="0"/>
          <w14:ligatures w14:val="none"/>
        </w:rPr>
        <w:t>negative effects</w:t>
      </w:r>
      <w:r w:rsidR="00016A2F" w:rsidRPr="00F518E4">
        <w:rPr>
          <w:rFonts w:ascii="Times New Roman" w:eastAsia="Times New Roman" w:hAnsi="Times New Roman" w:cs="Times New Roman"/>
          <w:color w:val="404040"/>
          <w:kern w:val="0"/>
          <w14:ligatures w14:val="none"/>
        </w:rPr>
        <w:t xml:space="preserve"> </w:t>
      </w:r>
      <w:r w:rsidR="00250D2C" w:rsidRPr="00F518E4">
        <w:rPr>
          <w:rFonts w:ascii="Times New Roman" w:eastAsia="Times New Roman" w:hAnsi="Times New Roman" w:cs="Times New Roman"/>
          <w:color w:val="404040"/>
          <w:kern w:val="0"/>
          <w14:ligatures w14:val="none"/>
        </w:rPr>
        <w:t>of the financial crisis milder</w:t>
      </w:r>
      <w:r w:rsidR="00016A2F" w:rsidRPr="00F518E4">
        <w:rPr>
          <w:rFonts w:ascii="Times New Roman" w:eastAsia="Times New Roman" w:hAnsi="Times New Roman" w:cs="Times New Roman"/>
          <w:color w:val="404040"/>
          <w:kern w:val="0"/>
          <w14:ligatures w14:val="none"/>
        </w:rPr>
        <w:t xml:space="preserve"> after 2010. </w:t>
      </w:r>
      <w:proofErr w:type="gramStart"/>
      <w:r w:rsidR="00016A2F" w:rsidRPr="00F518E4">
        <w:rPr>
          <w:rFonts w:ascii="Times New Roman" w:eastAsia="Times New Roman" w:hAnsi="Times New Roman" w:cs="Times New Roman"/>
          <w:color w:val="404040"/>
          <w:kern w:val="0"/>
          <w14:ligatures w14:val="none"/>
        </w:rPr>
        <w:t>Thus</w:t>
      </w:r>
      <w:proofErr w:type="gramEnd"/>
      <w:r w:rsidR="00016A2F" w:rsidRPr="00F518E4">
        <w:rPr>
          <w:rFonts w:ascii="Times New Roman" w:eastAsia="Times New Roman" w:hAnsi="Times New Roman" w:cs="Times New Roman"/>
          <w:color w:val="404040"/>
          <w:kern w:val="0"/>
          <w14:ligatures w14:val="none"/>
        </w:rPr>
        <w:t xml:space="preserve"> the downward pre policy trend in </w:t>
      </w:r>
      <w:r w:rsidR="00A14F74" w:rsidRPr="00F518E4">
        <w:rPr>
          <w:rFonts w:ascii="Times New Roman" w:eastAsia="Times New Roman" w:hAnsi="Times New Roman" w:cs="Times New Roman"/>
          <w:color w:val="404040"/>
          <w:kern w:val="0"/>
          <w14:ligatures w14:val="none"/>
        </w:rPr>
        <w:t xml:space="preserve">Canada </w:t>
      </w:r>
      <w:r w:rsidR="00016A2F" w:rsidRPr="00F518E4">
        <w:rPr>
          <w:rFonts w:ascii="Times New Roman" w:eastAsia="Times New Roman" w:hAnsi="Times New Roman" w:cs="Times New Roman"/>
          <w:color w:val="404040"/>
          <w:kern w:val="0"/>
          <w14:ligatures w14:val="none"/>
        </w:rPr>
        <w:t>can be a normal economical move.</w:t>
      </w:r>
      <w:r w:rsidRPr="00F518E4">
        <w:rPr>
          <w:rFonts w:ascii="Times New Roman" w:eastAsia="Times New Roman" w:hAnsi="Times New Roman" w:cs="Times New Roman"/>
          <w:color w:val="404040"/>
          <w:kern w:val="0"/>
          <w14:ligatures w14:val="none"/>
        </w:rPr>
        <w:t xml:space="preserve"> </w:t>
      </w:r>
    </w:p>
    <w:p w14:paraId="3DDFF2C8" w14:textId="6A847EBD" w:rsidR="00D07493" w:rsidRPr="00F518E4" w:rsidRDefault="00D07493" w:rsidP="00FE3494">
      <w:pPr>
        <w:spacing w:line="480" w:lineRule="auto"/>
        <w:rPr>
          <w:rFonts w:ascii="Times New Roman" w:hAnsi="Times New Roman" w:cs="Times New Roman"/>
          <w:b/>
          <w:bCs/>
        </w:rPr>
      </w:pPr>
      <w:commentRangeStart w:id="2"/>
      <w:r w:rsidRPr="00F518E4">
        <w:rPr>
          <w:rFonts w:ascii="Times New Roman" w:hAnsi="Times New Roman" w:cs="Times New Roman"/>
          <w:b/>
          <w:bCs/>
        </w:rPr>
        <w:t>Policy Implication</w:t>
      </w:r>
      <w:commentRangeEnd w:id="2"/>
      <w:r w:rsidRPr="00F518E4">
        <w:rPr>
          <w:rStyle w:val="CommentReference"/>
          <w:rFonts w:ascii="Times New Roman" w:hAnsi="Times New Roman" w:cs="Times New Roman"/>
          <w:b/>
          <w:bCs/>
        </w:rPr>
        <w:commentReference w:id="2"/>
      </w:r>
    </w:p>
    <w:p w14:paraId="7F519DE9" w14:textId="07E1C76D" w:rsidR="00332BDB" w:rsidRPr="00F518E4" w:rsidRDefault="00332BDB" w:rsidP="00FE3494">
      <w:pPr>
        <w:spacing w:line="480" w:lineRule="auto"/>
        <w:rPr>
          <w:rFonts w:ascii="Times New Roman" w:hAnsi="Times New Roman" w:cs="Times New Roman"/>
          <w:i/>
          <w:iCs/>
        </w:rPr>
      </w:pPr>
      <w:r w:rsidRPr="00F518E4">
        <w:rPr>
          <w:rFonts w:ascii="Times New Roman" w:hAnsi="Times New Roman" w:cs="Times New Roman"/>
          <w:i/>
          <w:iCs/>
        </w:rPr>
        <w:t>Discussion</w:t>
      </w:r>
    </w:p>
    <w:p w14:paraId="1E3ED9C3" w14:textId="1B7A24B5" w:rsidR="000C6A74" w:rsidRPr="00F518E4" w:rsidRDefault="00332BDB" w:rsidP="00FE3494">
      <w:pPr>
        <w:spacing w:line="480" w:lineRule="auto"/>
        <w:rPr>
          <w:rFonts w:ascii="Times New Roman" w:hAnsi="Times New Roman" w:cs="Times New Roman"/>
        </w:rPr>
      </w:pPr>
      <w:r w:rsidRPr="00F518E4">
        <w:rPr>
          <w:rFonts w:ascii="Times New Roman" w:hAnsi="Times New Roman" w:cs="Times New Roman"/>
        </w:rPr>
        <w:t xml:space="preserve">The negative casual relation between </w:t>
      </w:r>
      <w:r w:rsidRPr="00F518E4">
        <w:rPr>
          <w:rFonts w:ascii="Times New Roman" w:hAnsi="Times New Roman" w:cs="Times New Roman"/>
          <w:lang w:val="en-US"/>
        </w:rPr>
        <w:t xml:space="preserve">the increased T1CR requirement and the ROE of banks in Canada SIBs suggest a </w:t>
      </w:r>
      <w:r w:rsidR="00955C09" w:rsidRPr="00F518E4">
        <w:rPr>
          <w:rFonts w:ascii="Times New Roman" w:hAnsi="Times New Roman" w:cs="Times New Roman"/>
          <w:lang w:val="en-US"/>
        </w:rPr>
        <w:t>tradeoff</w:t>
      </w:r>
      <w:r w:rsidRPr="00F518E4">
        <w:rPr>
          <w:rFonts w:ascii="Times New Roman" w:hAnsi="Times New Roman" w:cs="Times New Roman"/>
          <w:lang w:val="en-US"/>
        </w:rPr>
        <w:t xml:space="preserve"> between profitability and </w:t>
      </w:r>
      <w:r w:rsidR="00747403" w:rsidRPr="00F518E4">
        <w:rPr>
          <w:rFonts w:ascii="Times New Roman" w:hAnsi="Times New Roman" w:cs="Times New Roman"/>
          <w:lang w:val="en-US"/>
        </w:rPr>
        <w:t>resilience of the banking system in Canada</w:t>
      </w:r>
      <w:r w:rsidRPr="00F518E4">
        <w:rPr>
          <w:rFonts w:ascii="Times New Roman" w:hAnsi="Times New Roman" w:cs="Times New Roman"/>
          <w:lang w:val="en-US"/>
        </w:rPr>
        <w:t xml:space="preserve">. </w:t>
      </w:r>
      <w:r w:rsidR="00747403" w:rsidRPr="00F518E4">
        <w:rPr>
          <w:rFonts w:ascii="Times New Roman" w:hAnsi="Times New Roman" w:cs="Times New Roman"/>
          <w:lang w:val="en-US"/>
        </w:rPr>
        <w:t xml:space="preserve">Even though the new policy of the 2% increase was developed to </w:t>
      </w:r>
      <w:r w:rsidR="000C6A74" w:rsidRPr="00F518E4">
        <w:rPr>
          <w:rFonts w:ascii="Times New Roman" w:hAnsi="Times New Roman" w:cs="Times New Roman"/>
          <w:lang w:val="en-US"/>
        </w:rPr>
        <w:t>raise</w:t>
      </w:r>
      <w:r w:rsidR="00747403" w:rsidRPr="00F518E4">
        <w:rPr>
          <w:rFonts w:ascii="Times New Roman" w:hAnsi="Times New Roman" w:cs="Times New Roman"/>
          <w:lang w:val="en-US"/>
        </w:rPr>
        <w:t xml:space="preserve"> banks’ capital buffer, </w:t>
      </w:r>
      <w:r w:rsidR="000C6A74" w:rsidRPr="00F518E4">
        <w:rPr>
          <w:rFonts w:ascii="Times New Roman" w:hAnsi="Times New Roman" w:cs="Times New Roman"/>
          <w:lang w:val="en-US"/>
        </w:rPr>
        <w:t>improve</w:t>
      </w:r>
      <w:r w:rsidR="00747403" w:rsidRPr="00F518E4">
        <w:rPr>
          <w:rFonts w:ascii="Times New Roman" w:hAnsi="Times New Roman" w:cs="Times New Roman"/>
          <w:lang w:val="en-US"/>
        </w:rPr>
        <w:t xml:space="preserve"> risk tolerance and prevent future crisis happening, which ultimately controls the losses </w:t>
      </w:r>
      <w:r w:rsidR="000C6A74" w:rsidRPr="00F518E4">
        <w:rPr>
          <w:rFonts w:ascii="Times New Roman" w:hAnsi="Times New Roman" w:cs="Times New Roman"/>
          <w:lang w:val="en-US"/>
        </w:rPr>
        <w:t>against future shocks</w:t>
      </w:r>
      <w:r w:rsidR="00747403" w:rsidRPr="00F518E4">
        <w:rPr>
          <w:rFonts w:ascii="Times New Roman" w:hAnsi="Times New Roman" w:cs="Times New Roman"/>
          <w:lang w:val="en-US"/>
        </w:rPr>
        <w:t xml:space="preserve">, it sacrifices banks </w:t>
      </w:r>
      <w:r w:rsidR="000C6A74" w:rsidRPr="00F518E4">
        <w:rPr>
          <w:rFonts w:ascii="Times New Roman" w:hAnsi="Times New Roman" w:cs="Times New Roman"/>
          <w:lang w:val="en-US"/>
        </w:rPr>
        <w:t xml:space="preserve">during normal economic conditions. </w:t>
      </w:r>
      <w:r w:rsidR="000C6A74" w:rsidRPr="00F518E4">
        <w:rPr>
          <w:rFonts w:ascii="Times New Roman" w:hAnsi="Times New Roman" w:cs="Times New Roman"/>
        </w:rPr>
        <w:t>However, finding such a break-even point requires a careful balancing act. It is crucial to identify a regulatory capital threshold that provides adequate protection without excessively constraining banks’ ability to generate returns for shareholders. Overly stringent capital requirements may lead to inefficient capital allocation, reduced lending, and slower economic growth, while insufficient capital levels increase systemic risk. Therefore, regulators must continuously assess the effectiveness of capital adequacy standards considering market dynamics, macroeconomic trends, and financial innovation.</w:t>
      </w:r>
    </w:p>
    <w:p w14:paraId="6B4B1257" w14:textId="1D3ABBAA" w:rsidR="005F1915" w:rsidRPr="00F518E4" w:rsidRDefault="000C6A74" w:rsidP="00FE3494">
      <w:pPr>
        <w:spacing w:line="480" w:lineRule="auto"/>
        <w:rPr>
          <w:rFonts w:ascii="Times New Roman" w:hAnsi="Times New Roman" w:cs="Times New Roman"/>
          <w:lang w:val="en-US"/>
        </w:rPr>
      </w:pPr>
      <w:r w:rsidRPr="00F518E4">
        <w:rPr>
          <w:rFonts w:ascii="Times New Roman" w:hAnsi="Times New Roman" w:cs="Times New Roman"/>
          <w:lang w:val="en-US"/>
        </w:rPr>
        <w:t xml:space="preserve">Canadian SIBs </w:t>
      </w:r>
      <w:r w:rsidR="00244923" w:rsidRPr="00F518E4">
        <w:rPr>
          <w:rFonts w:ascii="Times New Roman" w:hAnsi="Times New Roman" w:cs="Times New Roman"/>
          <w:lang w:val="en-US"/>
        </w:rPr>
        <w:t>are</w:t>
      </w:r>
      <w:r w:rsidRPr="00F518E4">
        <w:rPr>
          <w:rFonts w:ascii="Times New Roman" w:hAnsi="Times New Roman" w:cs="Times New Roman"/>
          <w:lang w:val="en-US"/>
        </w:rPr>
        <w:t xml:space="preserve"> more resilient not only compared to the US comparable in this study, but also </w:t>
      </w:r>
      <w:r w:rsidR="00244923" w:rsidRPr="00F518E4">
        <w:rPr>
          <w:rFonts w:ascii="Times New Roman" w:hAnsi="Times New Roman" w:cs="Times New Roman"/>
          <w:lang w:val="en-US"/>
        </w:rPr>
        <w:t xml:space="preserve">known having a table performance among all SIBs around the world. It’s noticeable that, even before the higher T1CR requirement imposed, the 6 SIBs in Canada already kept their T1CR </w:t>
      </w:r>
      <w:r w:rsidR="00244923" w:rsidRPr="00F518E4">
        <w:rPr>
          <w:rFonts w:ascii="Times New Roman" w:hAnsi="Times New Roman" w:cs="Times New Roman"/>
          <w:lang w:val="en-US"/>
        </w:rPr>
        <w:lastRenderedPageBreak/>
        <w:t>above the new regulatory threshold</w:t>
      </w:r>
      <w:r w:rsidR="005F1915" w:rsidRPr="00F518E4">
        <w:rPr>
          <w:rFonts w:ascii="Times New Roman" w:hAnsi="Times New Roman" w:cs="Times New Roman"/>
          <w:lang w:val="en-US"/>
        </w:rPr>
        <w:t xml:space="preserve"> of 6%, noted in the horizontal red dash line in the graph below. Even through before the policy change the T1CR shows a decrease trend, the </w:t>
      </w:r>
      <w:r w:rsidR="00F518E4" w:rsidRPr="00F518E4">
        <w:rPr>
          <w:rFonts w:ascii="Times New Roman" w:hAnsi="Times New Roman" w:cs="Times New Roman"/>
          <w:lang w:val="en-US"/>
        </w:rPr>
        <w:t>tier 1 capital in all banks has been increasing overtime from 10``to 2018, which also drives the increase post policy change. And after the policy change officially announced in Canada, the T1CR in the 6 banks all raise again, further above the required level, addressing the more conservative operations among Canadian financial institutions. And this also explain the resilience where they have more buffer to absorb the shocks.</w:t>
      </w:r>
    </w:p>
    <w:p w14:paraId="689EACD2" w14:textId="70BD7C4D" w:rsidR="00E921D6" w:rsidRPr="00F518E4" w:rsidRDefault="005F1915" w:rsidP="00FE3494">
      <w:pPr>
        <w:spacing w:line="480" w:lineRule="auto"/>
        <w:rPr>
          <w:rFonts w:ascii="Times New Roman" w:hAnsi="Times New Roman" w:cs="Times New Roman"/>
          <w:lang w:val="en-US"/>
        </w:rPr>
      </w:pPr>
      <w:r w:rsidRPr="00F518E4">
        <w:rPr>
          <w:rFonts w:ascii="Times New Roman" w:hAnsi="Times New Roman" w:cs="Times New Roman"/>
          <w:noProof/>
          <w:lang w:val="en-US"/>
        </w:rPr>
        <w:drawing>
          <wp:inline distT="0" distB="0" distL="0" distR="0" wp14:anchorId="20D55995" wp14:editId="04F72C15">
            <wp:extent cx="3258205" cy="1954924"/>
            <wp:effectExtent l="0" t="0" r="0" b="1270"/>
            <wp:docPr id="382817353" name="Picture 6"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7353" name="Picture 6" descr="A graph with lines and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9346" cy="1991608"/>
                    </a:xfrm>
                    <a:prstGeom prst="rect">
                      <a:avLst/>
                    </a:prstGeom>
                  </pic:spPr>
                </pic:pic>
              </a:graphicData>
            </a:graphic>
          </wp:inline>
        </w:drawing>
      </w:r>
      <w:r w:rsidR="00E921D6" w:rsidRPr="00F518E4">
        <w:rPr>
          <w:rFonts w:ascii="Times New Roman" w:hAnsi="Times New Roman" w:cs="Times New Roman"/>
          <w:noProof/>
          <w:lang w:val="en-US"/>
        </w:rPr>
        <w:drawing>
          <wp:inline distT="0" distB="0" distL="0" distR="0" wp14:anchorId="3138BAD2" wp14:editId="3056974D">
            <wp:extent cx="3310758" cy="1986455"/>
            <wp:effectExtent l="0" t="0" r="0" b="0"/>
            <wp:docPr id="414132125"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2125" name="Picture 3" descr="A graph with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6722" cy="2026033"/>
                    </a:xfrm>
                    <a:prstGeom prst="rect">
                      <a:avLst/>
                    </a:prstGeom>
                  </pic:spPr>
                </pic:pic>
              </a:graphicData>
            </a:graphic>
          </wp:inline>
        </w:drawing>
      </w:r>
    </w:p>
    <w:p w14:paraId="3B1DD24C" w14:textId="77777777" w:rsidR="00332BDB" w:rsidRPr="00F518E4" w:rsidRDefault="00332BDB" w:rsidP="00332BDB">
      <w:pPr>
        <w:spacing w:line="480" w:lineRule="auto"/>
        <w:rPr>
          <w:rFonts w:ascii="Times New Roman" w:eastAsia="Times New Roman" w:hAnsi="Times New Roman" w:cs="Times New Roman"/>
          <w:i/>
          <w:iCs/>
          <w:color w:val="404040"/>
          <w:kern w:val="0"/>
          <w14:ligatures w14:val="none"/>
        </w:rPr>
      </w:pPr>
      <w:r w:rsidRPr="00F518E4">
        <w:rPr>
          <w:rFonts w:ascii="Times New Roman" w:eastAsia="Times New Roman" w:hAnsi="Times New Roman" w:cs="Times New Roman"/>
          <w:i/>
          <w:iCs/>
          <w:color w:val="404040"/>
          <w:kern w:val="0"/>
          <w14:ligatures w14:val="none"/>
        </w:rPr>
        <w:t>Limitations</w:t>
      </w:r>
    </w:p>
    <w:p w14:paraId="01948E25" w14:textId="2526C9AE" w:rsidR="00332BDB" w:rsidRPr="00F518E4" w:rsidRDefault="00332BDB" w:rsidP="00FE3494">
      <w:pPr>
        <w:spacing w:line="480" w:lineRule="auto"/>
        <w:rPr>
          <w:rFonts w:ascii="Times New Roman" w:eastAsia="Times New Roman" w:hAnsi="Times New Roman" w:cs="Times New Roman"/>
          <w:color w:val="404040"/>
          <w:kern w:val="0"/>
          <w14:ligatures w14:val="none"/>
        </w:rPr>
      </w:pPr>
      <w:r w:rsidRPr="00F518E4">
        <w:rPr>
          <w:rFonts w:ascii="Times New Roman" w:eastAsia="Times New Roman" w:hAnsi="Times New Roman" w:cs="Times New Roman"/>
          <w:color w:val="404040"/>
          <w:kern w:val="0"/>
          <w14:ligatures w14:val="none"/>
        </w:rPr>
        <w:t xml:space="preserve">The year of 2014 cannot be seen as a clear cutoff of the policy change. It is in 2014 that Canada SIBs completed the implementation officially, and in 2018 that US SIBs completed, but it </w:t>
      </w:r>
      <w:r w:rsidRPr="00F518E4">
        <w:rPr>
          <w:rFonts w:ascii="Times New Roman" w:eastAsia="Times New Roman" w:hAnsi="Times New Roman" w:cs="Times New Roman"/>
          <w:color w:val="404040"/>
          <w:kern w:val="0"/>
          <w14:ligatures w14:val="none"/>
        </w:rPr>
        <w:lastRenderedPageBreak/>
        <w:t xml:space="preserve">doesn’t mean the impact of this regulatory change start exactly in 2014 in Canada and not start strictly in US until 2018. It is in 2014 that Canada officially announced the completion, and in 2018 for the US. In fact, any policy implantation takes time, and we do not have any clue of an exact timepoint when the SIBs in either country started to raise their capital and more strictly regulate their own lending activities to work towards the new rule. </w:t>
      </w:r>
    </w:p>
    <w:p w14:paraId="3816CB5F" w14:textId="549D9EBF" w:rsidR="00FE3494" w:rsidRPr="00F518E4" w:rsidRDefault="00FE3494" w:rsidP="00FE3494">
      <w:pPr>
        <w:spacing w:line="480" w:lineRule="auto"/>
        <w:rPr>
          <w:rFonts w:ascii="Times New Roman" w:hAnsi="Times New Roman" w:cs="Times New Roman"/>
          <w:b/>
          <w:bCs/>
        </w:rPr>
      </w:pPr>
      <w:r w:rsidRPr="00F518E4">
        <w:rPr>
          <w:rFonts w:ascii="Times New Roman" w:hAnsi="Times New Roman" w:cs="Times New Roman"/>
          <w:b/>
          <w:bCs/>
        </w:rPr>
        <w:t>Conclusion</w:t>
      </w:r>
    </w:p>
    <w:p w14:paraId="175A3E4F" w14:textId="1DC79FFF" w:rsidR="00F518E4" w:rsidRPr="00F518E4" w:rsidRDefault="00F518E4" w:rsidP="00F518E4">
      <w:pPr>
        <w:spacing w:line="480" w:lineRule="auto"/>
        <w:rPr>
          <w:rFonts w:ascii="Times New Roman" w:hAnsi="Times New Roman" w:cs="Times New Roman"/>
        </w:rPr>
      </w:pPr>
      <w:r w:rsidRPr="00F518E4">
        <w:rPr>
          <w:rFonts w:ascii="Times New Roman" w:hAnsi="Times New Roman" w:cs="Times New Roman"/>
        </w:rPr>
        <w:t>This study examines the impact of the increased Tier 1 Capital Ratio (T1CR) requirement from 4% to 6%</w:t>
      </w:r>
      <w:r>
        <w:rPr>
          <w:rFonts w:ascii="Times New Roman" w:hAnsi="Times New Roman" w:cs="Times New Roman"/>
        </w:rPr>
        <w:t xml:space="preserve">, </w:t>
      </w:r>
      <w:r w:rsidRPr="00F518E4">
        <w:rPr>
          <w:rFonts w:ascii="Times New Roman" w:hAnsi="Times New Roman" w:cs="Times New Roman"/>
        </w:rPr>
        <w:t>as implemented under Basel III</w:t>
      </w:r>
      <w:r>
        <w:rPr>
          <w:rFonts w:ascii="Times New Roman" w:hAnsi="Times New Roman" w:cs="Times New Roman"/>
        </w:rPr>
        <w:t xml:space="preserve">, </w:t>
      </w:r>
      <w:r w:rsidRPr="00F518E4">
        <w:rPr>
          <w:rFonts w:ascii="Times New Roman" w:hAnsi="Times New Roman" w:cs="Times New Roman"/>
        </w:rPr>
        <w:t>on the return on equity (ROE) of Canadian systemically important banks (SIBs), using a Difference-in-Differences (</w:t>
      </w:r>
      <w:proofErr w:type="spellStart"/>
      <w:r w:rsidRPr="00F518E4">
        <w:rPr>
          <w:rFonts w:ascii="Times New Roman" w:hAnsi="Times New Roman" w:cs="Times New Roman"/>
        </w:rPr>
        <w:t>DiD</w:t>
      </w:r>
      <w:proofErr w:type="spellEnd"/>
      <w:r w:rsidRPr="00F518E4">
        <w:rPr>
          <w:rFonts w:ascii="Times New Roman" w:hAnsi="Times New Roman" w:cs="Times New Roman"/>
        </w:rPr>
        <w:t>) approach with US SIBs as the control group.</w:t>
      </w:r>
    </w:p>
    <w:p w14:paraId="52B51681" w14:textId="0E51C6BE" w:rsidR="00F518E4" w:rsidRPr="00F518E4" w:rsidRDefault="00F518E4" w:rsidP="00F518E4">
      <w:pPr>
        <w:spacing w:line="480" w:lineRule="auto"/>
        <w:rPr>
          <w:rFonts w:ascii="Times New Roman" w:hAnsi="Times New Roman" w:cs="Times New Roman"/>
        </w:rPr>
      </w:pPr>
      <w:r w:rsidRPr="00F518E4">
        <w:rPr>
          <w:rFonts w:ascii="Times New Roman" w:hAnsi="Times New Roman" w:cs="Times New Roman"/>
        </w:rPr>
        <w:t xml:space="preserve">The empirical results reveal a statistically significant and economically meaningful negative causal effect of the policy change on Canadian banks’ ROE. Specifically, the DID estimator of -2.516 indicates that, on average, the ROE of Canadian SIBs declined by approximately 2.5 percentage points following the policy change, relative to their US counterparts. </w:t>
      </w:r>
    </w:p>
    <w:p w14:paraId="4B042570" w14:textId="3E24FAED" w:rsidR="00F518E4" w:rsidRPr="00F518E4" w:rsidRDefault="00F518E4" w:rsidP="00F518E4">
      <w:pPr>
        <w:spacing w:line="480" w:lineRule="auto"/>
        <w:rPr>
          <w:rFonts w:ascii="Times New Roman" w:hAnsi="Times New Roman" w:cs="Times New Roman"/>
        </w:rPr>
      </w:pPr>
      <w:r w:rsidRPr="00F518E4">
        <w:rPr>
          <w:rFonts w:ascii="Times New Roman" w:hAnsi="Times New Roman" w:cs="Times New Roman"/>
        </w:rPr>
        <w:t xml:space="preserve">However, while the intention behind increasing capital requirements is to enhance financial system stability and mitigate the risks of future crises, this analysis confirms the </w:t>
      </w:r>
      <w:proofErr w:type="spellStart"/>
      <w:r w:rsidRPr="00F518E4">
        <w:rPr>
          <w:rFonts w:ascii="Times New Roman" w:hAnsi="Times New Roman" w:cs="Times New Roman"/>
        </w:rPr>
        <w:t>tradeoff</w:t>
      </w:r>
      <w:proofErr w:type="spellEnd"/>
      <w:r w:rsidRPr="00F518E4">
        <w:rPr>
          <w:rFonts w:ascii="Times New Roman" w:hAnsi="Times New Roman" w:cs="Times New Roman"/>
        </w:rPr>
        <w:t xml:space="preserve"> between regulatory resilience and bank profitability. The reduced ROE highlights the potential cost of more conservative capital buffers, especially </w:t>
      </w:r>
      <w:r>
        <w:rPr>
          <w:rFonts w:ascii="Times New Roman" w:hAnsi="Times New Roman" w:cs="Times New Roman"/>
        </w:rPr>
        <w:t>in a</w:t>
      </w:r>
      <w:r w:rsidRPr="00F518E4">
        <w:rPr>
          <w:rFonts w:ascii="Times New Roman" w:hAnsi="Times New Roman" w:cs="Times New Roman"/>
        </w:rPr>
        <w:t xml:space="preserve"> stable econo</w:t>
      </w:r>
      <w:r>
        <w:rPr>
          <w:rFonts w:ascii="Times New Roman" w:hAnsi="Times New Roman" w:cs="Times New Roman"/>
        </w:rPr>
        <w:t>my</w:t>
      </w:r>
      <w:r w:rsidRPr="00F518E4">
        <w:rPr>
          <w:rFonts w:ascii="Times New Roman" w:hAnsi="Times New Roman" w:cs="Times New Roman"/>
        </w:rPr>
        <w:t>.</w:t>
      </w:r>
    </w:p>
    <w:p w14:paraId="6BD92FD5" w14:textId="36438D7C" w:rsidR="00F518E4" w:rsidRPr="00F518E4" w:rsidRDefault="00F518E4" w:rsidP="00F518E4">
      <w:pPr>
        <w:spacing w:line="480" w:lineRule="auto"/>
        <w:rPr>
          <w:rFonts w:ascii="Times New Roman" w:hAnsi="Times New Roman" w:cs="Times New Roman"/>
        </w:rPr>
      </w:pPr>
      <w:r w:rsidRPr="00F518E4">
        <w:rPr>
          <w:rFonts w:ascii="Times New Roman" w:hAnsi="Times New Roman" w:cs="Times New Roman"/>
        </w:rPr>
        <w:t>Nevertheless, the study also identifies limitations</w:t>
      </w:r>
      <w:r>
        <w:rPr>
          <w:rFonts w:ascii="Times New Roman" w:hAnsi="Times New Roman" w:cs="Times New Roman"/>
        </w:rPr>
        <w:t xml:space="preserve">, </w:t>
      </w:r>
      <w:r w:rsidRPr="00F518E4">
        <w:rPr>
          <w:rFonts w:ascii="Times New Roman" w:hAnsi="Times New Roman" w:cs="Times New Roman"/>
        </w:rPr>
        <w:t xml:space="preserve">most notably, a violation of the parallel trends assumption due to differing pre-policy ROE trajectories between the treatment and control groups. This discrepancy may result in an overestimation of the negative impact, potentially </w:t>
      </w:r>
      <w:r w:rsidRPr="00F518E4">
        <w:rPr>
          <w:rFonts w:ascii="Times New Roman" w:hAnsi="Times New Roman" w:cs="Times New Roman"/>
        </w:rPr>
        <w:lastRenderedPageBreak/>
        <w:t xml:space="preserve">influenced by macroeconomic recovery dynamics unique to each country, such as the slower post-crisis recovery of US banks compared to </w:t>
      </w:r>
      <w:r>
        <w:rPr>
          <w:rFonts w:ascii="Times New Roman" w:hAnsi="Times New Roman" w:cs="Times New Roman"/>
        </w:rPr>
        <w:t xml:space="preserve">the </w:t>
      </w:r>
      <w:r w:rsidRPr="00F518E4">
        <w:rPr>
          <w:rFonts w:ascii="Times New Roman" w:hAnsi="Times New Roman" w:cs="Times New Roman"/>
        </w:rPr>
        <w:t>Canadian institutions.</w:t>
      </w:r>
    </w:p>
    <w:p w14:paraId="3A367B65" w14:textId="6BFA8FEC" w:rsidR="00F518E4" w:rsidRPr="00F518E4" w:rsidRDefault="00F518E4" w:rsidP="00F518E4">
      <w:pPr>
        <w:spacing w:line="480" w:lineRule="auto"/>
        <w:rPr>
          <w:rFonts w:ascii="Times New Roman" w:hAnsi="Times New Roman" w:cs="Times New Roman"/>
        </w:rPr>
      </w:pPr>
      <w:r w:rsidRPr="00F518E4">
        <w:rPr>
          <w:rFonts w:ascii="Times New Roman" w:hAnsi="Times New Roman" w:cs="Times New Roman"/>
        </w:rPr>
        <w:t>From a policy standpoint, the findings emphasize the importance of calibrating capital requirements to ensure they do not unduly constrain bank performance. Canadian banks had already maintained capital ratios above the new threshold prior to its formal enforcement, suggesting that while the regulation solidified conservative practices, it may have compounded existing buffers beyond optimal levels. The challenge for regulators lies in finding a balanced</w:t>
      </w:r>
      <w:r>
        <w:rPr>
          <w:rFonts w:ascii="Times New Roman" w:hAnsi="Times New Roman" w:cs="Times New Roman"/>
        </w:rPr>
        <w:t xml:space="preserve"> point </w:t>
      </w:r>
      <w:r w:rsidRPr="00F518E4">
        <w:rPr>
          <w:rFonts w:ascii="Times New Roman" w:hAnsi="Times New Roman" w:cs="Times New Roman"/>
        </w:rPr>
        <w:t>that sustains profitability while ensuring systemic safety.</w:t>
      </w:r>
    </w:p>
    <w:p w14:paraId="7CB0F66C" w14:textId="77777777" w:rsidR="006E608B" w:rsidRDefault="00F518E4" w:rsidP="00F518E4">
      <w:pPr>
        <w:spacing w:line="480" w:lineRule="auto"/>
        <w:rPr>
          <w:rFonts w:ascii="Times New Roman" w:hAnsi="Times New Roman" w:cs="Times New Roman"/>
        </w:rPr>
      </w:pPr>
      <w:r w:rsidRPr="00F518E4">
        <w:rPr>
          <w:rFonts w:ascii="Times New Roman" w:hAnsi="Times New Roman" w:cs="Times New Roman"/>
        </w:rPr>
        <w:t>Ultimately, this analysis contributes to the ongoing debate about the cost-benefit balance of banking regulations and calls for dynamic, data-driven adjustments to capital adequacy standards that reflect both market realities and long-term financial stability goals.</w:t>
      </w:r>
    </w:p>
    <w:p w14:paraId="0E1B8C09" w14:textId="77777777" w:rsidR="006E608B" w:rsidRDefault="006E608B" w:rsidP="00F518E4">
      <w:pPr>
        <w:spacing w:line="480" w:lineRule="auto"/>
        <w:rPr>
          <w:rFonts w:ascii="Times New Roman" w:hAnsi="Times New Roman" w:cs="Times New Roman"/>
        </w:rPr>
      </w:pPr>
    </w:p>
    <w:p w14:paraId="51D7FC60" w14:textId="77777777" w:rsidR="006E608B" w:rsidRPr="00654C65" w:rsidRDefault="006E608B" w:rsidP="006E608B">
      <w:pPr>
        <w:spacing w:line="480" w:lineRule="auto"/>
        <w:rPr>
          <w:rFonts w:ascii="Times New Roman" w:hAnsi="Times New Roman" w:cs="Times New Roman"/>
          <w:b/>
          <w:bCs/>
          <w:color w:val="000000" w:themeColor="text1"/>
        </w:rPr>
      </w:pPr>
      <w:r w:rsidRPr="00654C65">
        <w:rPr>
          <w:rFonts w:ascii="Times New Roman" w:hAnsi="Times New Roman" w:cs="Times New Roman"/>
          <w:b/>
          <w:bCs/>
          <w:color w:val="000000" w:themeColor="text1"/>
        </w:rPr>
        <w:t>Reference:</w:t>
      </w:r>
    </w:p>
    <w:p w14:paraId="65F9D72C" w14:textId="77777777" w:rsidR="006E608B" w:rsidRPr="00E4381B" w:rsidRDefault="006E608B" w:rsidP="006E608B">
      <w:pPr>
        <w:spacing w:line="480" w:lineRule="auto"/>
        <w:ind w:left="720" w:hanging="720"/>
        <w:rPr>
          <w:rFonts w:ascii="Times New Roman" w:hAnsi="Times New Roman" w:cs="Times New Roman"/>
          <w:color w:val="000000" w:themeColor="text1"/>
        </w:rPr>
      </w:pPr>
      <w:proofErr w:type="spellStart"/>
      <w:r w:rsidRPr="00E4381B">
        <w:rPr>
          <w:rFonts w:ascii="Times New Roman" w:hAnsi="Times New Roman" w:cs="Times New Roman"/>
          <w:color w:val="000000" w:themeColor="text1"/>
        </w:rPr>
        <w:t>Wagster</w:t>
      </w:r>
      <w:proofErr w:type="spellEnd"/>
      <w:r w:rsidRPr="00E4381B">
        <w:rPr>
          <w:rFonts w:ascii="Times New Roman" w:hAnsi="Times New Roman" w:cs="Times New Roman"/>
          <w:color w:val="000000" w:themeColor="text1"/>
        </w:rPr>
        <w:t xml:space="preserve">, J.D. (2012) ‘Canadian bank capital during the Great Depression of the 1930s: A comparison to the Basel III requirements’, </w:t>
      </w:r>
      <w:r w:rsidRPr="00E4381B">
        <w:rPr>
          <w:rFonts w:ascii="Times New Roman" w:hAnsi="Times New Roman" w:cs="Times New Roman"/>
          <w:i/>
          <w:iCs/>
          <w:color w:val="000000" w:themeColor="text1"/>
        </w:rPr>
        <w:t>Journal of Banking Regulation</w:t>
      </w:r>
      <w:r w:rsidRPr="00E4381B">
        <w:rPr>
          <w:rFonts w:ascii="Times New Roman" w:hAnsi="Times New Roman" w:cs="Times New Roman"/>
          <w:color w:val="000000" w:themeColor="text1"/>
        </w:rPr>
        <w:t>, 13(2), pp. 89–98.</w:t>
      </w:r>
    </w:p>
    <w:p w14:paraId="3CC0AD31" w14:textId="77777777" w:rsidR="006E608B" w:rsidRPr="00E4381B" w:rsidRDefault="006E608B" w:rsidP="006E608B">
      <w:pPr>
        <w:spacing w:line="480" w:lineRule="auto"/>
        <w:ind w:left="720" w:hanging="720"/>
        <w:rPr>
          <w:rFonts w:ascii="Times New Roman" w:hAnsi="Times New Roman" w:cs="Times New Roman"/>
          <w:color w:val="000000" w:themeColor="text1"/>
        </w:rPr>
      </w:pPr>
      <w:proofErr w:type="spellStart"/>
      <w:r w:rsidRPr="00E4381B">
        <w:rPr>
          <w:rFonts w:ascii="Times New Roman" w:hAnsi="Times New Roman" w:cs="Times New Roman"/>
          <w:color w:val="000000" w:themeColor="text1"/>
        </w:rPr>
        <w:t>Oyetade</w:t>
      </w:r>
      <w:proofErr w:type="spellEnd"/>
      <w:r w:rsidRPr="00E4381B">
        <w:rPr>
          <w:rFonts w:ascii="Times New Roman" w:hAnsi="Times New Roman" w:cs="Times New Roman"/>
          <w:color w:val="000000" w:themeColor="text1"/>
        </w:rPr>
        <w:t xml:space="preserve">, D., </w:t>
      </w:r>
      <w:proofErr w:type="spellStart"/>
      <w:r w:rsidRPr="00E4381B">
        <w:rPr>
          <w:rFonts w:ascii="Times New Roman" w:hAnsi="Times New Roman" w:cs="Times New Roman"/>
          <w:color w:val="000000" w:themeColor="text1"/>
        </w:rPr>
        <w:t>Obalade</w:t>
      </w:r>
      <w:proofErr w:type="spellEnd"/>
      <w:r w:rsidRPr="00E4381B">
        <w:rPr>
          <w:rFonts w:ascii="Times New Roman" w:hAnsi="Times New Roman" w:cs="Times New Roman"/>
          <w:color w:val="000000" w:themeColor="text1"/>
        </w:rPr>
        <w:t xml:space="preserve">, A.A. and </w:t>
      </w:r>
      <w:proofErr w:type="spellStart"/>
      <w:r w:rsidRPr="00E4381B">
        <w:rPr>
          <w:rFonts w:ascii="Times New Roman" w:hAnsi="Times New Roman" w:cs="Times New Roman"/>
          <w:color w:val="000000" w:themeColor="text1"/>
        </w:rPr>
        <w:t>Muzindutsi</w:t>
      </w:r>
      <w:proofErr w:type="spellEnd"/>
      <w:r w:rsidRPr="00E4381B">
        <w:rPr>
          <w:rFonts w:ascii="Times New Roman" w:hAnsi="Times New Roman" w:cs="Times New Roman"/>
          <w:color w:val="000000" w:themeColor="text1"/>
        </w:rPr>
        <w:t xml:space="preserve">, P.F. (2023) ‘Basel IV capital requirements and the performance of commercial banks in Africa’, </w:t>
      </w:r>
      <w:r w:rsidRPr="00E4381B">
        <w:rPr>
          <w:rFonts w:ascii="Times New Roman" w:hAnsi="Times New Roman" w:cs="Times New Roman"/>
          <w:i/>
          <w:iCs/>
          <w:color w:val="000000" w:themeColor="text1"/>
        </w:rPr>
        <w:t>Journal of Banking Regulation</w:t>
      </w:r>
      <w:r w:rsidRPr="00E4381B">
        <w:rPr>
          <w:rFonts w:ascii="Times New Roman" w:hAnsi="Times New Roman" w:cs="Times New Roman"/>
          <w:color w:val="000000" w:themeColor="text1"/>
        </w:rPr>
        <w:t xml:space="preserve">, 24, pp. 1–14. Available at: </w:t>
      </w:r>
      <w:hyperlink r:id="rId16" w:tgtFrame="_new" w:history="1">
        <w:r w:rsidRPr="00E4381B">
          <w:rPr>
            <w:rStyle w:val="Hyperlink"/>
            <w:rFonts w:ascii="Times New Roman" w:hAnsi="Times New Roman" w:cs="Times New Roman"/>
          </w:rPr>
          <w:t>https://doi.org/10.1057/s41261-021-00181-1</w:t>
        </w:r>
      </w:hyperlink>
      <w:r w:rsidRPr="00E4381B">
        <w:rPr>
          <w:rFonts w:ascii="Times New Roman" w:hAnsi="Times New Roman" w:cs="Times New Roman"/>
          <w:color w:val="000000" w:themeColor="text1"/>
        </w:rPr>
        <w:t>.</w:t>
      </w:r>
    </w:p>
    <w:p w14:paraId="46C11475" w14:textId="77777777" w:rsidR="006E608B" w:rsidRDefault="006E608B" w:rsidP="006E608B">
      <w:pPr>
        <w:spacing w:line="480" w:lineRule="auto"/>
        <w:ind w:left="720" w:hanging="720"/>
        <w:rPr>
          <w:rFonts w:ascii="Times New Roman" w:hAnsi="Times New Roman" w:cs="Times New Roman"/>
          <w:color w:val="000000" w:themeColor="text1"/>
        </w:rPr>
      </w:pPr>
      <w:r w:rsidRPr="00E4381B">
        <w:rPr>
          <w:rFonts w:ascii="Times New Roman" w:hAnsi="Times New Roman" w:cs="Times New Roman"/>
          <w:color w:val="000000" w:themeColor="text1"/>
        </w:rPr>
        <w:t xml:space="preserve">Le, T.N.L., Nasir, M.A. and Huynh, T.L.D. (2023) ‘Capital requirements and banks performance under Basel-III: A comparative analysis of Australian and British banks’, </w:t>
      </w:r>
      <w:r w:rsidRPr="00E4381B">
        <w:rPr>
          <w:rFonts w:ascii="Times New Roman" w:hAnsi="Times New Roman" w:cs="Times New Roman"/>
          <w:i/>
          <w:iCs/>
          <w:color w:val="000000" w:themeColor="text1"/>
        </w:rPr>
        <w:t xml:space="preserve">The Quarterly </w:t>
      </w:r>
      <w:r w:rsidRPr="00E4381B">
        <w:rPr>
          <w:rFonts w:ascii="Times New Roman" w:hAnsi="Times New Roman" w:cs="Times New Roman"/>
          <w:i/>
          <w:iCs/>
          <w:color w:val="000000" w:themeColor="text1"/>
        </w:rPr>
        <w:lastRenderedPageBreak/>
        <w:t>Review of Economics and Finance</w:t>
      </w:r>
      <w:r w:rsidRPr="00E4381B">
        <w:rPr>
          <w:rFonts w:ascii="Times New Roman" w:hAnsi="Times New Roman" w:cs="Times New Roman"/>
          <w:color w:val="000000" w:themeColor="text1"/>
        </w:rPr>
        <w:t xml:space="preserve">, 87, pp. 146–157. Available at: </w:t>
      </w:r>
      <w:hyperlink r:id="rId17" w:tgtFrame="_new" w:history="1">
        <w:r w:rsidRPr="00E4381B">
          <w:rPr>
            <w:rStyle w:val="Hyperlink"/>
            <w:rFonts w:ascii="Times New Roman" w:hAnsi="Times New Roman" w:cs="Times New Roman"/>
          </w:rPr>
          <w:t>https://doi.org/10.1016/j.qref.2020.06.001</w:t>
        </w:r>
      </w:hyperlink>
      <w:r w:rsidRPr="00E4381B">
        <w:rPr>
          <w:rFonts w:ascii="Times New Roman" w:hAnsi="Times New Roman" w:cs="Times New Roman"/>
          <w:color w:val="000000" w:themeColor="text1"/>
        </w:rPr>
        <w:t>.</w:t>
      </w:r>
    </w:p>
    <w:p w14:paraId="783A964E" w14:textId="77777777" w:rsidR="006E608B" w:rsidRDefault="006E608B" w:rsidP="006E608B">
      <w:pPr>
        <w:spacing w:line="480" w:lineRule="auto"/>
        <w:ind w:left="720" w:hanging="720"/>
        <w:rPr>
          <w:rFonts w:ascii="Times New Roman" w:hAnsi="Times New Roman" w:cs="Times New Roman"/>
          <w:color w:val="000000" w:themeColor="text1"/>
        </w:rPr>
      </w:pPr>
      <w:r w:rsidRPr="006D706C">
        <w:rPr>
          <w:rFonts w:ascii="Times New Roman" w:hAnsi="Times New Roman" w:cs="Times New Roman"/>
          <w:color w:val="000000" w:themeColor="text1"/>
        </w:rPr>
        <w:t xml:space="preserve">Nasdaq. (2023). </w:t>
      </w:r>
      <w:r w:rsidRPr="006D706C">
        <w:rPr>
          <w:rFonts w:ascii="Times New Roman" w:hAnsi="Times New Roman" w:cs="Times New Roman"/>
          <w:i/>
          <w:iCs/>
          <w:color w:val="000000" w:themeColor="text1"/>
        </w:rPr>
        <w:t>Canadian go-live of Basel IV BCAR</w:t>
      </w:r>
      <w:r w:rsidRPr="006D706C">
        <w:rPr>
          <w:rFonts w:ascii="Times New Roman" w:hAnsi="Times New Roman" w:cs="Times New Roman"/>
          <w:color w:val="000000" w:themeColor="text1"/>
        </w:rPr>
        <w:t xml:space="preserve">. [online] Available at: </w:t>
      </w:r>
      <w:hyperlink r:id="rId18" w:tgtFrame="_new" w:history="1">
        <w:r w:rsidRPr="006D706C">
          <w:rPr>
            <w:rStyle w:val="Hyperlink"/>
            <w:rFonts w:ascii="Times New Roman" w:hAnsi="Times New Roman" w:cs="Times New Roman"/>
          </w:rPr>
          <w:t>https://www.nasdaq.com/articles/fintech/regulatory-news/reg-news-canadian-go-live-of-basel-iv-bcar-2023</w:t>
        </w:r>
      </w:hyperlink>
      <w:r>
        <w:rPr>
          <w:rFonts w:ascii="Times New Roman" w:hAnsi="Times New Roman" w:cs="Times New Roman"/>
          <w:color w:val="000000" w:themeColor="text1"/>
        </w:rPr>
        <w:t>.</w:t>
      </w:r>
    </w:p>
    <w:p w14:paraId="7AA52B50" w14:textId="77777777" w:rsidR="006E608B" w:rsidRDefault="006E608B" w:rsidP="006E608B">
      <w:pPr>
        <w:spacing w:line="480" w:lineRule="auto"/>
        <w:ind w:left="720" w:hanging="720"/>
        <w:rPr>
          <w:rFonts w:ascii="Times New Roman" w:hAnsi="Times New Roman" w:cs="Times New Roman"/>
          <w:color w:val="000000" w:themeColor="text1"/>
        </w:rPr>
      </w:pPr>
      <w:proofErr w:type="spellStart"/>
      <w:r w:rsidRPr="000E0320">
        <w:rPr>
          <w:rFonts w:ascii="Times New Roman" w:hAnsi="Times New Roman" w:cs="Times New Roman"/>
          <w:color w:val="000000" w:themeColor="text1"/>
        </w:rPr>
        <w:t>Regnology</w:t>
      </w:r>
      <w:proofErr w:type="spellEnd"/>
      <w:r w:rsidRPr="000E0320">
        <w:rPr>
          <w:rFonts w:ascii="Times New Roman" w:hAnsi="Times New Roman" w:cs="Times New Roman"/>
          <w:color w:val="000000" w:themeColor="text1"/>
        </w:rPr>
        <w:t xml:space="preserve">. (n.d.). </w:t>
      </w:r>
      <w:r w:rsidRPr="000E0320">
        <w:rPr>
          <w:rFonts w:ascii="Times New Roman" w:hAnsi="Times New Roman" w:cs="Times New Roman"/>
          <w:i/>
          <w:iCs/>
          <w:color w:val="000000" w:themeColor="text1"/>
        </w:rPr>
        <w:t>Basel IV: A jurisdictional breakdown</w:t>
      </w:r>
      <w:r w:rsidRPr="000E0320">
        <w:rPr>
          <w:rFonts w:ascii="Times New Roman" w:hAnsi="Times New Roman" w:cs="Times New Roman"/>
          <w:color w:val="000000" w:themeColor="text1"/>
        </w:rPr>
        <w:t xml:space="preserve">. [online] Available at: </w:t>
      </w:r>
      <w:hyperlink r:id="rId19" w:tgtFrame="_new" w:history="1">
        <w:r w:rsidRPr="000E0320">
          <w:rPr>
            <w:rStyle w:val="Hyperlink"/>
            <w:rFonts w:ascii="Times New Roman" w:hAnsi="Times New Roman" w:cs="Times New Roman"/>
          </w:rPr>
          <w:t>https://www.regnology.net/en/resources/insights/basel-iv-a-jurisdictional-breakdown/</w:t>
        </w:r>
      </w:hyperlink>
      <w:r>
        <w:rPr>
          <w:rFonts w:ascii="Times New Roman" w:hAnsi="Times New Roman" w:cs="Times New Roman"/>
          <w:color w:val="000000" w:themeColor="text1"/>
        </w:rPr>
        <w:t>.</w:t>
      </w:r>
    </w:p>
    <w:p w14:paraId="2D7B9B5E" w14:textId="77777777" w:rsidR="006E608B" w:rsidRDefault="006E608B" w:rsidP="006E608B">
      <w:pPr>
        <w:spacing w:line="480" w:lineRule="auto"/>
        <w:ind w:left="720" w:hanging="720"/>
        <w:rPr>
          <w:rFonts w:ascii="Times New Roman" w:hAnsi="Times New Roman" w:cs="Times New Roman"/>
          <w:color w:val="000000" w:themeColor="text1"/>
        </w:rPr>
      </w:pPr>
      <w:r w:rsidRPr="000E0320">
        <w:rPr>
          <w:rFonts w:ascii="Times New Roman" w:hAnsi="Times New Roman" w:cs="Times New Roman"/>
          <w:color w:val="000000" w:themeColor="text1"/>
        </w:rPr>
        <w:t xml:space="preserve">Investopedia. (n.d.). </w:t>
      </w:r>
      <w:r w:rsidRPr="000E0320">
        <w:rPr>
          <w:rFonts w:ascii="Times New Roman" w:hAnsi="Times New Roman" w:cs="Times New Roman"/>
          <w:i/>
          <w:iCs/>
          <w:color w:val="000000" w:themeColor="text1"/>
        </w:rPr>
        <w:t>Capital Adequacy Ratio (CAR)</w:t>
      </w:r>
      <w:r w:rsidRPr="000E0320">
        <w:rPr>
          <w:rFonts w:ascii="Times New Roman" w:hAnsi="Times New Roman" w:cs="Times New Roman"/>
          <w:color w:val="000000" w:themeColor="text1"/>
        </w:rPr>
        <w:t xml:space="preserve">. [online] Available at: </w:t>
      </w:r>
      <w:hyperlink r:id="rId20" w:tgtFrame="_new" w:history="1">
        <w:r w:rsidRPr="000E0320">
          <w:rPr>
            <w:rStyle w:val="Hyperlink"/>
            <w:rFonts w:ascii="Times New Roman" w:hAnsi="Times New Roman" w:cs="Times New Roman"/>
          </w:rPr>
          <w:t>https://www.investopedia.com/terms/c/capitaladequacyratio.asp</w:t>
        </w:r>
      </w:hyperlink>
      <w:r>
        <w:rPr>
          <w:rFonts w:ascii="Times New Roman" w:hAnsi="Times New Roman" w:cs="Times New Roman"/>
          <w:color w:val="000000" w:themeColor="text1"/>
        </w:rPr>
        <w:t>.</w:t>
      </w:r>
    </w:p>
    <w:p w14:paraId="25FC104D" w14:textId="7E6B421A" w:rsidR="00005D84" w:rsidRPr="00005D84" w:rsidRDefault="00005D84" w:rsidP="00005D84">
      <w:pPr>
        <w:spacing w:line="480" w:lineRule="auto"/>
        <w:ind w:left="720" w:hanging="720"/>
        <w:rPr>
          <w:rFonts w:ascii="Times New Roman" w:hAnsi="Times New Roman" w:cs="Times New Roman"/>
          <w:color w:val="000000" w:themeColor="text1"/>
        </w:rPr>
      </w:pPr>
      <w:r w:rsidRPr="00005D84">
        <w:rPr>
          <w:rFonts w:ascii="Times New Roman" w:hAnsi="Times New Roman" w:cs="Times New Roman"/>
          <w:color w:val="000000" w:themeColor="text1"/>
        </w:rPr>
        <w:t xml:space="preserve">Bank for International Settlements. (n.d.). </w:t>
      </w:r>
      <w:r w:rsidRPr="00005D84">
        <w:rPr>
          <w:rFonts w:ascii="Times New Roman" w:hAnsi="Times New Roman" w:cs="Times New Roman"/>
          <w:i/>
          <w:iCs/>
          <w:color w:val="000000" w:themeColor="text1"/>
        </w:rPr>
        <w:t>Definition of capital – Basel III</w:t>
      </w:r>
      <w:r w:rsidRPr="00005D84">
        <w:rPr>
          <w:rFonts w:ascii="Times New Roman" w:hAnsi="Times New Roman" w:cs="Times New Roman"/>
          <w:color w:val="000000" w:themeColor="text1"/>
        </w:rPr>
        <w:t xml:space="preserve">. </w:t>
      </w:r>
      <w:hyperlink r:id="rId21" w:tgtFrame="_new" w:history="1">
        <w:r w:rsidRPr="00005D84">
          <w:rPr>
            <w:rStyle w:val="Hyperlink"/>
            <w:rFonts w:ascii="Times New Roman" w:hAnsi="Times New Roman" w:cs="Times New Roman"/>
          </w:rPr>
          <w:t>https://www.bis.org/fsi/fsisummaries/defcap_b3.pdf</w:t>
        </w:r>
      </w:hyperlink>
    </w:p>
    <w:p w14:paraId="520A3383" w14:textId="0DB2968E" w:rsidR="00005D84" w:rsidRPr="00005D84" w:rsidRDefault="00005D84" w:rsidP="00005D84">
      <w:pPr>
        <w:spacing w:line="480" w:lineRule="auto"/>
        <w:ind w:left="720" w:hanging="720"/>
        <w:rPr>
          <w:rFonts w:ascii="Times New Roman" w:hAnsi="Times New Roman" w:cs="Times New Roman"/>
          <w:color w:val="000000" w:themeColor="text1"/>
        </w:rPr>
      </w:pPr>
      <w:r w:rsidRPr="00005D84">
        <w:rPr>
          <w:rFonts w:ascii="Times New Roman" w:hAnsi="Times New Roman" w:cs="Times New Roman"/>
          <w:color w:val="000000" w:themeColor="text1"/>
        </w:rPr>
        <w:t xml:space="preserve">Investopedia. (n.d.). </w:t>
      </w:r>
      <w:r w:rsidRPr="00005D84">
        <w:rPr>
          <w:rFonts w:ascii="Times New Roman" w:hAnsi="Times New Roman" w:cs="Times New Roman"/>
          <w:i/>
          <w:iCs/>
          <w:color w:val="000000" w:themeColor="text1"/>
        </w:rPr>
        <w:t>Tier 1 Capital Ratio: What It Is, How It Works, Formula</w:t>
      </w:r>
      <w:r w:rsidRPr="00005D84">
        <w:rPr>
          <w:rFonts w:ascii="Times New Roman" w:hAnsi="Times New Roman" w:cs="Times New Roman"/>
          <w:color w:val="000000" w:themeColor="text1"/>
        </w:rPr>
        <w:t xml:space="preserve">. </w:t>
      </w:r>
      <w:hyperlink r:id="rId22" w:tgtFrame="_new" w:history="1">
        <w:r w:rsidRPr="00005D84">
          <w:rPr>
            <w:rStyle w:val="Hyperlink"/>
            <w:rFonts w:ascii="Times New Roman" w:hAnsi="Times New Roman" w:cs="Times New Roman"/>
          </w:rPr>
          <w:t>https://www.investopedia.com/terms/t/tier-1-capital-ratio.asp</w:t>
        </w:r>
      </w:hyperlink>
    </w:p>
    <w:p w14:paraId="6C6704C0" w14:textId="44746944" w:rsidR="00005D84" w:rsidRPr="00005D84" w:rsidRDefault="00005D84" w:rsidP="00005D84">
      <w:pPr>
        <w:spacing w:line="480" w:lineRule="auto"/>
        <w:ind w:left="720" w:hanging="720"/>
        <w:rPr>
          <w:rFonts w:ascii="Times New Roman" w:hAnsi="Times New Roman" w:cs="Times New Roman"/>
          <w:color w:val="000000" w:themeColor="text1"/>
        </w:rPr>
      </w:pPr>
      <w:r w:rsidRPr="00005D84">
        <w:rPr>
          <w:rFonts w:ascii="Times New Roman" w:hAnsi="Times New Roman" w:cs="Times New Roman"/>
          <w:color w:val="000000" w:themeColor="text1"/>
        </w:rPr>
        <w:t xml:space="preserve">Office of the Superintendent of Financial Institutions. (2023). </w:t>
      </w:r>
      <w:r w:rsidRPr="00005D84">
        <w:rPr>
          <w:rFonts w:ascii="Times New Roman" w:hAnsi="Times New Roman" w:cs="Times New Roman"/>
          <w:i/>
          <w:iCs/>
          <w:color w:val="000000" w:themeColor="text1"/>
        </w:rPr>
        <w:t>Capital Adequacy Requirements (CAR) 2024 – Chapter 2</w:t>
      </w:r>
      <w:r w:rsidRPr="00005D84">
        <w:rPr>
          <w:rFonts w:ascii="Times New Roman" w:hAnsi="Times New Roman" w:cs="Times New Roman"/>
          <w:color w:val="000000" w:themeColor="text1"/>
        </w:rPr>
        <w:t xml:space="preserve">. </w:t>
      </w:r>
      <w:hyperlink r:id="rId23" w:tgtFrame="_new" w:history="1">
        <w:r w:rsidRPr="00005D84">
          <w:rPr>
            <w:rStyle w:val="Hyperlink"/>
            <w:rFonts w:ascii="Times New Roman" w:hAnsi="Times New Roman" w:cs="Times New Roman"/>
          </w:rPr>
          <w:t>https://www.osfi-bsif.gc.ca/sites/default/files/2023-12/car24_chpt2.pdf</w:t>
        </w:r>
      </w:hyperlink>
    </w:p>
    <w:p w14:paraId="2956A479" w14:textId="77777777" w:rsidR="00005D84" w:rsidRPr="00E4381B" w:rsidRDefault="00005D84" w:rsidP="006E608B">
      <w:pPr>
        <w:spacing w:line="480" w:lineRule="auto"/>
        <w:ind w:left="720" w:hanging="720"/>
        <w:rPr>
          <w:rFonts w:ascii="Times New Roman" w:hAnsi="Times New Roman" w:cs="Times New Roman"/>
          <w:color w:val="000000" w:themeColor="text1"/>
        </w:rPr>
      </w:pPr>
    </w:p>
    <w:p w14:paraId="568318A5" w14:textId="42BE003A" w:rsidR="00FE3494" w:rsidRPr="00F518E4" w:rsidRDefault="00FE3494" w:rsidP="00F518E4">
      <w:pPr>
        <w:spacing w:line="480" w:lineRule="auto"/>
        <w:rPr>
          <w:rFonts w:ascii="Times New Roman" w:hAnsi="Times New Roman" w:cs="Times New Roman"/>
        </w:rPr>
      </w:pPr>
      <w:r w:rsidRPr="00F518E4">
        <w:rPr>
          <w:rFonts w:ascii="Times New Roman" w:hAnsi="Times New Roman" w:cs="Times New Roman"/>
        </w:rPr>
        <w:br/>
      </w:r>
    </w:p>
    <w:p w14:paraId="7E556627" w14:textId="77777777" w:rsidR="00FE3494" w:rsidRPr="00F518E4" w:rsidRDefault="00FE3494" w:rsidP="00FE3494">
      <w:pPr>
        <w:spacing w:line="480" w:lineRule="auto"/>
        <w:rPr>
          <w:rFonts w:ascii="Times New Roman" w:hAnsi="Times New Roman" w:cs="Times New Roman"/>
        </w:rPr>
      </w:pPr>
    </w:p>
    <w:p w14:paraId="44130BA2" w14:textId="164033FA" w:rsidR="0073312C" w:rsidRPr="00F518E4" w:rsidRDefault="0073312C" w:rsidP="00FE3494">
      <w:pPr>
        <w:spacing w:line="480" w:lineRule="auto"/>
        <w:rPr>
          <w:rFonts w:ascii="Times New Roman" w:eastAsia="Times New Roman" w:hAnsi="Times New Roman" w:cs="Times New Roman"/>
          <w:color w:val="404040"/>
          <w:kern w:val="0"/>
          <w14:ligatures w14:val="none"/>
        </w:rPr>
      </w:pPr>
    </w:p>
    <w:sectPr w:rsidR="0073312C" w:rsidRPr="00F518E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h0220@student.ubc.ca" w:date="2025-04-10T21:10:00Z" w:initials="j">
    <w:p w14:paraId="12A4D975" w14:textId="77777777" w:rsidR="00AD0BC9" w:rsidRDefault="00AD0BC9" w:rsidP="00AD0BC9">
      <w:r>
        <w:rPr>
          <w:rStyle w:val="CommentReference"/>
        </w:rPr>
        <w:annotationRef/>
      </w:r>
      <w:r>
        <w:rPr>
          <w:color w:val="000000"/>
          <w:sz w:val="20"/>
          <w:szCs w:val="20"/>
        </w:rPr>
        <w:t>1.         Results: including a statistical table showing the stat results</w:t>
      </w:r>
    </w:p>
    <w:p w14:paraId="593729B4" w14:textId="77777777" w:rsidR="00AD0BC9" w:rsidRDefault="00AD0BC9" w:rsidP="00AD0BC9">
      <w:r>
        <w:rPr>
          <w:color w:val="000000"/>
          <w:sz w:val="20"/>
          <w:szCs w:val="20"/>
        </w:rPr>
        <w:t>o   describe key findings in econ/stat language, eg 1 unit increase in x lead to delta% increase in y</w:t>
      </w:r>
    </w:p>
    <w:p w14:paraId="3447D42E" w14:textId="77777777" w:rsidR="00AD0BC9" w:rsidRDefault="00AD0BC9" w:rsidP="00AD0BC9">
      <w:r>
        <w:rPr>
          <w:color w:val="000000"/>
          <w:sz w:val="20"/>
          <w:szCs w:val="20"/>
        </w:rPr>
        <w:t>o   The sign and magnitude of estimate</w:t>
      </w:r>
    </w:p>
    <w:p w14:paraId="42A3B0DE" w14:textId="77777777" w:rsidR="00AD0BC9" w:rsidRDefault="00AD0BC9" w:rsidP="00AD0BC9">
      <w:r>
        <w:rPr>
          <w:color w:val="000000"/>
          <w:sz w:val="20"/>
          <w:szCs w:val="20"/>
        </w:rPr>
        <w:t>o   Does it suppot the null hypothesis</w:t>
      </w:r>
    </w:p>
    <w:p w14:paraId="1FD2B230" w14:textId="77777777" w:rsidR="00AD0BC9" w:rsidRDefault="00AD0BC9" w:rsidP="00AD0BC9"/>
  </w:comment>
  <w:comment w:id="1" w:author="jh0220@student.ubc.ca" w:date="2025-04-10T21:11:00Z" w:initials="j">
    <w:p w14:paraId="0B092118" w14:textId="77777777" w:rsidR="00AD0BC9" w:rsidRDefault="00AD0BC9" w:rsidP="00AD0BC9">
      <w:r>
        <w:rPr>
          <w:rStyle w:val="CommentReference"/>
        </w:rPr>
        <w:annotationRef/>
      </w:r>
      <w:r>
        <w:rPr>
          <w:color w:val="000000"/>
          <w:sz w:val="20"/>
          <w:szCs w:val="20"/>
        </w:rPr>
        <w:t xml:space="preserve">1.         Interpretation: what you learned from the findings </w:t>
      </w:r>
    </w:p>
    <w:p w14:paraId="78475F5F" w14:textId="77777777" w:rsidR="00AD0BC9" w:rsidRDefault="00AD0BC9" w:rsidP="00AD0BC9">
      <w:r>
        <w:rPr>
          <w:color w:val="000000"/>
          <w:sz w:val="20"/>
          <w:szCs w:val="20"/>
        </w:rPr>
        <w:t>o   compare estimated sign and magnitude (dollar val &amp; pctg) with estimates from prior studies in different settings</w:t>
      </w:r>
    </w:p>
    <w:p w14:paraId="6522AE8E" w14:textId="77777777" w:rsidR="00AD0BC9" w:rsidRDefault="00AD0BC9" w:rsidP="00AD0BC9">
      <w:r>
        <w:rPr>
          <w:color w:val="000000"/>
          <w:sz w:val="20"/>
          <w:szCs w:val="20"/>
        </w:rPr>
        <w:t>o    the potential reasons (demographic composition difference, developed countries vs developing countries)</w:t>
      </w:r>
    </w:p>
    <w:p w14:paraId="7E8F5EC4" w14:textId="77777777" w:rsidR="00AD0BC9" w:rsidRDefault="00AD0BC9" w:rsidP="00AD0BC9">
      <w:r>
        <w:rPr>
          <w:color w:val="000000"/>
          <w:sz w:val="20"/>
          <w:szCs w:val="20"/>
        </w:rPr>
        <w:t>o   Are your estimate biasd?</w:t>
      </w:r>
    </w:p>
    <w:p w14:paraId="5D337598" w14:textId="77777777" w:rsidR="00AD0BC9" w:rsidRDefault="00AD0BC9" w:rsidP="00AD0BC9">
      <w:r>
        <w:rPr>
          <w:color w:val="000000"/>
          <w:sz w:val="20"/>
          <w:szCs w:val="20"/>
        </w:rPr>
        <w:t>§  include any figure eg showing paralled pretrend</w:t>
      </w:r>
    </w:p>
    <w:p w14:paraId="1A3333BE" w14:textId="77777777" w:rsidR="00AD0BC9" w:rsidRDefault="00AD0BC9" w:rsidP="00AD0BC9">
      <w:r>
        <w:rPr>
          <w:color w:val="000000"/>
          <w:sz w:val="20"/>
          <w:szCs w:val="20"/>
        </w:rPr>
        <w:t>§  direction of bias if not parallel, or find increase/decreases if pretrend is not stable</w:t>
      </w:r>
    </w:p>
    <w:p w14:paraId="3954CC9A" w14:textId="77777777" w:rsidR="00AD0BC9" w:rsidRDefault="00AD0BC9" w:rsidP="00AD0BC9">
      <w:r>
        <w:rPr>
          <w:color w:val="000000"/>
          <w:sz w:val="20"/>
          <w:szCs w:val="20"/>
        </w:rPr>
        <w:t>§  if the paralled trend holds, other issues may exists, call back to the discussion in section 2</w:t>
      </w:r>
    </w:p>
    <w:p w14:paraId="78E5E0C7" w14:textId="77777777" w:rsidR="00AD0BC9" w:rsidRDefault="00AD0BC9" w:rsidP="00AD0BC9"/>
  </w:comment>
  <w:comment w:id="2" w:author="jh0220@student.ubc.ca" w:date="2025-04-10T21:12:00Z" w:initials="j">
    <w:p w14:paraId="5F43230E" w14:textId="77777777" w:rsidR="00D07493" w:rsidRDefault="00D07493" w:rsidP="00D07493">
      <w:r>
        <w:rPr>
          <w:rStyle w:val="CommentReference"/>
        </w:rPr>
        <w:annotationRef/>
      </w:r>
      <w:r>
        <w:rPr>
          <w:color w:val="000000"/>
          <w:sz w:val="20"/>
          <w:szCs w:val="20"/>
        </w:rPr>
        <w:t>3.        policy implication &amp; conclusion</w:t>
      </w:r>
    </w:p>
    <w:p w14:paraId="2DA4A98D" w14:textId="77777777" w:rsidR="00D07493" w:rsidRDefault="00D07493" w:rsidP="00D07493">
      <w:r>
        <w:rPr>
          <w:color w:val="000000"/>
          <w:sz w:val="20"/>
          <w:szCs w:val="20"/>
        </w:rPr>
        <w:t>a.        positive statement: … suggects…, (avoid using “should”)</w:t>
      </w:r>
    </w:p>
    <w:p w14:paraId="21095B6B" w14:textId="77777777" w:rsidR="00D07493" w:rsidRDefault="00D07493" w:rsidP="00D07493">
      <w:r>
        <w:rPr>
          <w:color w:val="000000"/>
          <w:sz w:val="20"/>
          <w:szCs w:val="20"/>
        </w:rPr>
        <w:t>b.        external validity issue, decreibe the potential issue of the findings (data representation issue)</w:t>
      </w:r>
    </w:p>
    <w:p w14:paraId="32CDD162" w14:textId="77777777" w:rsidR="00D07493" w:rsidRDefault="00D07493" w:rsidP="00D0749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2B230" w15:done="0"/>
  <w15:commentEx w15:paraId="78E5E0C7" w15:done="0"/>
  <w15:commentEx w15:paraId="32CD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C2AE67" w16cex:dateUtc="2025-04-11T04:10:00Z"/>
  <w16cex:commentExtensible w16cex:durableId="1BCA9662" w16cex:dateUtc="2025-04-11T04:11:00Z"/>
  <w16cex:commentExtensible w16cex:durableId="582BCD3C" w16cex:dateUtc="2025-04-11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2B230" w16cid:durableId="6DC2AE67"/>
  <w16cid:commentId w16cid:paraId="78E5E0C7" w16cid:durableId="1BCA9662"/>
  <w16cid:commentId w16cid:paraId="32CDD162" w16cid:durableId="582BCD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89FE6" w14:textId="77777777" w:rsidR="00C72C10" w:rsidRDefault="00C72C10" w:rsidP="00EE160D">
      <w:pPr>
        <w:spacing w:after="0" w:line="240" w:lineRule="auto"/>
      </w:pPr>
      <w:r>
        <w:separator/>
      </w:r>
    </w:p>
  </w:endnote>
  <w:endnote w:type="continuationSeparator" w:id="0">
    <w:p w14:paraId="3107C011" w14:textId="77777777" w:rsidR="00C72C10" w:rsidRDefault="00C72C10" w:rsidP="00EE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CA0B1" w14:textId="77777777" w:rsidR="00F518E4" w:rsidRDefault="00F51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32E02" w14:textId="77777777" w:rsidR="00F518E4" w:rsidRDefault="00F51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259DC" w14:textId="77777777" w:rsidR="00F518E4" w:rsidRDefault="00F51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FE36A" w14:textId="77777777" w:rsidR="00C72C10" w:rsidRDefault="00C72C10" w:rsidP="00EE160D">
      <w:pPr>
        <w:spacing w:after="0" w:line="240" w:lineRule="auto"/>
      </w:pPr>
      <w:r>
        <w:separator/>
      </w:r>
    </w:p>
  </w:footnote>
  <w:footnote w:type="continuationSeparator" w:id="0">
    <w:p w14:paraId="5FA687A1" w14:textId="77777777" w:rsidR="00C72C10" w:rsidRDefault="00C72C10" w:rsidP="00EE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4CE8" w14:textId="77777777" w:rsidR="00F518E4" w:rsidRDefault="00F51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5C0DC" w14:textId="77777777" w:rsidR="00F518E4" w:rsidRDefault="00F51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F8C2C" w14:textId="77777777" w:rsidR="00F518E4" w:rsidRDefault="00F51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6BB6"/>
    <w:multiLevelType w:val="multilevel"/>
    <w:tmpl w:val="F3C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45D2"/>
    <w:multiLevelType w:val="hybridMultilevel"/>
    <w:tmpl w:val="6D6C26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063A173C"/>
    <w:multiLevelType w:val="multilevel"/>
    <w:tmpl w:val="0512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395A"/>
    <w:multiLevelType w:val="multilevel"/>
    <w:tmpl w:val="D03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4A6A"/>
    <w:multiLevelType w:val="multilevel"/>
    <w:tmpl w:val="2D9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14E68"/>
    <w:multiLevelType w:val="multilevel"/>
    <w:tmpl w:val="7E9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46B49"/>
    <w:multiLevelType w:val="multilevel"/>
    <w:tmpl w:val="1B5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059C3"/>
    <w:multiLevelType w:val="multilevel"/>
    <w:tmpl w:val="AAD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C25D4"/>
    <w:multiLevelType w:val="multilevel"/>
    <w:tmpl w:val="D5F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12DE9"/>
    <w:multiLevelType w:val="multilevel"/>
    <w:tmpl w:val="FCF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00DA3"/>
    <w:multiLevelType w:val="multilevel"/>
    <w:tmpl w:val="BEFE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45CAE"/>
    <w:multiLevelType w:val="multilevel"/>
    <w:tmpl w:val="7B8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E5128"/>
    <w:multiLevelType w:val="multilevel"/>
    <w:tmpl w:val="8814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5D77"/>
    <w:multiLevelType w:val="hybridMultilevel"/>
    <w:tmpl w:val="D24AF834"/>
    <w:lvl w:ilvl="0" w:tplc="EC2AA948">
      <w:start w:val="3"/>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F2E2818"/>
    <w:multiLevelType w:val="multilevel"/>
    <w:tmpl w:val="B21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3337D"/>
    <w:multiLevelType w:val="hybridMultilevel"/>
    <w:tmpl w:val="8A22ABA8"/>
    <w:lvl w:ilvl="0" w:tplc="86448300">
      <w:start w:val="1"/>
      <w:numFmt w:val="none"/>
      <w:lvlText w:val="3."/>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211"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18472E"/>
    <w:multiLevelType w:val="multilevel"/>
    <w:tmpl w:val="F3A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27C73"/>
    <w:multiLevelType w:val="multilevel"/>
    <w:tmpl w:val="29A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B125E"/>
    <w:multiLevelType w:val="multilevel"/>
    <w:tmpl w:val="99C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418EA"/>
    <w:multiLevelType w:val="hybridMultilevel"/>
    <w:tmpl w:val="229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3751C"/>
    <w:multiLevelType w:val="multilevel"/>
    <w:tmpl w:val="EB1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95E78"/>
    <w:multiLevelType w:val="hybridMultilevel"/>
    <w:tmpl w:val="AE6250E8"/>
    <w:lvl w:ilvl="0" w:tplc="EC2AA948">
      <w:start w:val="3"/>
      <w:numFmt w:val="bullet"/>
      <w:lvlText w:val="-"/>
      <w:lvlJc w:val="left"/>
      <w:pPr>
        <w:ind w:left="360" w:hanging="360"/>
      </w:pPr>
      <w:rPr>
        <w:rFonts w:ascii="Aptos" w:eastAsiaTheme="minorEastAsia"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6306027">
    <w:abstractNumId w:val="21"/>
  </w:num>
  <w:num w:numId="2" w16cid:durableId="53161434">
    <w:abstractNumId w:val="15"/>
  </w:num>
  <w:num w:numId="3" w16cid:durableId="918442712">
    <w:abstractNumId w:val="19"/>
  </w:num>
  <w:num w:numId="4" w16cid:durableId="1435324949">
    <w:abstractNumId w:val="1"/>
  </w:num>
  <w:num w:numId="5" w16cid:durableId="1797212033">
    <w:abstractNumId w:val="13"/>
  </w:num>
  <w:num w:numId="6" w16cid:durableId="1727483538">
    <w:abstractNumId w:val="12"/>
  </w:num>
  <w:num w:numId="7" w16cid:durableId="1950619599">
    <w:abstractNumId w:val="8"/>
  </w:num>
  <w:num w:numId="8" w16cid:durableId="1589844214">
    <w:abstractNumId w:val="5"/>
  </w:num>
  <w:num w:numId="9" w16cid:durableId="474104530">
    <w:abstractNumId w:val="0"/>
  </w:num>
  <w:num w:numId="10" w16cid:durableId="862792308">
    <w:abstractNumId w:val="4"/>
  </w:num>
  <w:num w:numId="11" w16cid:durableId="429009882">
    <w:abstractNumId w:val="16"/>
  </w:num>
  <w:num w:numId="12" w16cid:durableId="1896349730">
    <w:abstractNumId w:val="9"/>
  </w:num>
  <w:num w:numId="13" w16cid:durableId="564294229">
    <w:abstractNumId w:val="2"/>
  </w:num>
  <w:num w:numId="14" w16cid:durableId="1630820582">
    <w:abstractNumId w:val="10"/>
  </w:num>
  <w:num w:numId="15" w16cid:durableId="460225206">
    <w:abstractNumId w:val="11"/>
  </w:num>
  <w:num w:numId="16" w16cid:durableId="523832095">
    <w:abstractNumId w:val="18"/>
  </w:num>
  <w:num w:numId="17" w16cid:durableId="1688019920">
    <w:abstractNumId w:val="14"/>
  </w:num>
  <w:num w:numId="18" w16cid:durableId="1779905248">
    <w:abstractNumId w:val="6"/>
  </w:num>
  <w:num w:numId="19" w16cid:durableId="346715911">
    <w:abstractNumId w:val="17"/>
  </w:num>
  <w:num w:numId="20" w16cid:durableId="747457543">
    <w:abstractNumId w:val="3"/>
  </w:num>
  <w:num w:numId="21" w16cid:durableId="1926379140">
    <w:abstractNumId w:val="20"/>
  </w:num>
  <w:num w:numId="22" w16cid:durableId="11530628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h0220@student.ubc.ca">
    <w15:presenceInfo w15:providerId="AD" w15:userId="S::jh0220@student.ubc.ca::bf816af8-3ebb-435f-8431-98e8cba60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2C"/>
    <w:rsid w:val="00000EEC"/>
    <w:rsid w:val="00005D84"/>
    <w:rsid w:val="00016A2F"/>
    <w:rsid w:val="000340D0"/>
    <w:rsid w:val="000614F2"/>
    <w:rsid w:val="00066EA5"/>
    <w:rsid w:val="000734AC"/>
    <w:rsid w:val="000C6A74"/>
    <w:rsid w:val="000E22E0"/>
    <w:rsid w:val="00171566"/>
    <w:rsid w:val="00184677"/>
    <w:rsid w:val="00191C70"/>
    <w:rsid w:val="0019332D"/>
    <w:rsid w:val="00195B99"/>
    <w:rsid w:val="001D7215"/>
    <w:rsid w:val="00244923"/>
    <w:rsid w:val="00250D2C"/>
    <w:rsid w:val="00281ADC"/>
    <w:rsid w:val="002C2FDB"/>
    <w:rsid w:val="003138EB"/>
    <w:rsid w:val="00316050"/>
    <w:rsid w:val="0031743B"/>
    <w:rsid w:val="00332BDB"/>
    <w:rsid w:val="0037056F"/>
    <w:rsid w:val="003A05CC"/>
    <w:rsid w:val="004060DD"/>
    <w:rsid w:val="00413347"/>
    <w:rsid w:val="004B7A0F"/>
    <w:rsid w:val="004E6718"/>
    <w:rsid w:val="00541E68"/>
    <w:rsid w:val="005A21F0"/>
    <w:rsid w:val="005F1915"/>
    <w:rsid w:val="005F5ACF"/>
    <w:rsid w:val="00621426"/>
    <w:rsid w:val="0068274C"/>
    <w:rsid w:val="006E608B"/>
    <w:rsid w:val="00705784"/>
    <w:rsid w:val="0073312C"/>
    <w:rsid w:val="00747403"/>
    <w:rsid w:val="00782960"/>
    <w:rsid w:val="007B0C90"/>
    <w:rsid w:val="008D0CB9"/>
    <w:rsid w:val="009463B9"/>
    <w:rsid w:val="00955C09"/>
    <w:rsid w:val="009B7EF8"/>
    <w:rsid w:val="009F4DCA"/>
    <w:rsid w:val="00A06951"/>
    <w:rsid w:val="00A14F74"/>
    <w:rsid w:val="00A20246"/>
    <w:rsid w:val="00A215D3"/>
    <w:rsid w:val="00AD0BC9"/>
    <w:rsid w:val="00B25425"/>
    <w:rsid w:val="00BE3B03"/>
    <w:rsid w:val="00C01748"/>
    <w:rsid w:val="00C21E99"/>
    <w:rsid w:val="00C30556"/>
    <w:rsid w:val="00C476DC"/>
    <w:rsid w:val="00C640E8"/>
    <w:rsid w:val="00C72C10"/>
    <w:rsid w:val="00D07493"/>
    <w:rsid w:val="00D97EFC"/>
    <w:rsid w:val="00E921D6"/>
    <w:rsid w:val="00EE160D"/>
    <w:rsid w:val="00F518E4"/>
    <w:rsid w:val="00F61193"/>
    <w:rsid w:val="00FB17C7"/>
    <w:rsid w:val="00FE34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EEB"/>
  <w15:chartTrackingRefBased/>
  <w15:docId w15:val="{0DB1C4FE-27BC-D441-ADE3-6DEF5A1F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12C"/>
    <w:rPr>
      <w:rFonts w:eastAsiaTheme="majorEastAsia" w:cstheme="majorBidi"/>
      <w:color w:val="272727" w:themeColor="text1" w:themeTint="D8"/>
    </w:rPr>
  </w:style>
  <w:style w:type="paragraph" w:styleId="Title">
    <w:name w:val="Title"/>
    <w:basedOn w:val="Normal"/>
    <w:next w:val="Normal"/>
    <w:link w:val="TitleChar"/>
    <w:uiPriority w:val="10"/>
    <w:qFormat/>
    <w:rsid w:val="00733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12C"/>
    <w:pPr>
      <w:spacing w:before="160"/>
      <w:jc w:val="center"/>
    </w:pPr>
    <w:rPr>
      <w:i/>
      <w:iCs/>
      <w:color w:val="404040" w:themeColor="text1" w:themeTint="BF"/>
    </w:rPr>
  </w:style>
  <w:style w:type="character" w:customStyle="1" w:styleId="QuoteChar">
    <w:name w:val="Quote Char"/>
    <w:basedOn w:val="DefaultParagraphFont"/>
    <w:link w:val="Quote"/>
    <w:uiPriority w:val="29"/>
    <w:rsid w:val="0073312C"/>
    <w:rPr>
      <w:i/>
      <w:iCs/>
      <w:color w:val="404040" w:themeColor="text1" w:themeTint="BF"/>
    </w:rPr>
  </w:style>
  <w:style w:type="paragraph" w:styleId="ListParagraph">
    <w:name w:val="List Paragraph"/>
    <w:basedOn w:val="Normal"/>
    <w:uiPriority w:val="34"/>
    <w:qFormat/>
    <w:rsid w:val="0073312C"/>
    <w:pPr>
      <w:ind w:left="720"/>
      <w:contextualSpacing/>
    </w:pPr>
  </w:style>
  <w:style w:type="character" w:styleId="IntenseEmphasis">
    <w:name w:val="Intense Emphasis"/>
    <w:basedOn w:val="DefaultParagraphFont"/>
    <w:uiPriority w:val="21"/>
    <w:qFormat/>
    <w:rsid w:val="0073312C"/>
    <w:rPr>
      <w:i/>
      <w:iCs/>
      <w:color w:val="0F4761" w:themeColor="accent1" w:themeShade="BF"/>
    </w:rPr>
  </w:style>
  <w:style w:type="paragraph" w:styleId="IntenseQuote">
    <w:name w:val="Intense Quote"/>
    <w:basedOn w:val="Normal"/>
    <w:next w:val="Normal"/>
    <w:link w:val="IntenseQuoteChar"/>
    <w:uiPriority w:val="30"/>
    <w:qFormat/>
    <w:rsid w:val="0073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12C"/>
    <w:rPr>
      <w:i/>
      <w:iCs/>
      <w:color w:val="0F4761" w:themeColor="accent1" w:themeShade="BF"/>
    </w:rPr>
  </w:style>
  <w:style w:type="character" w:styleId="IntenseReference">
    <w:name w:val="Intense Reference"/>
    <w:basedOn w:val="DefaultParagraphFont"/>
    <w:uiPriority w:val="32"/>
    <w:qFormat/>
    <w:rsid w:val="0073312C"/>
    <w:rPr>
      <w:b/>
      <w:bCs/>
      <w:smallCaps/>
      <w:color w:val="0F4761" w:themeColor="accent1" w:themeShade="BF"/>
      <w:spacing w:val="5"/>
    </w:rPr>
  </w:style>
  <w:style w:type="paragraph" w:styleId="NormalWeb">
    <w:name w:val="Normal (Web)"/>
    <w:basedOn w:val="Normal"/>
    <w:uiPriority w:val="99"/>
    <w:semiHidden/>
    <w:unhideWhenUsed/>
    <w:rsid w:val="00066EA5"/>
    <w:rPr>
      <w:rFonts w:ascii="Times New Roman" w:hAnsi="Times New Roman" w:cs="Times New Roman"/>
    </w:rPr>
  </w:style>
  <w:style w:type="character" w:styleId="HTMLCode">
    <w:name w:val="HTML Code"/>
    <w:basedOn w:val="DefaultParagraphFont"/>
    <w:uiPriority w:val="99"/>
    <w:semiHidden/>
    <w:unhideWhenUsed/>
    <w:rsid w:val="0037056F"/>
    <w:rPr>
      <w:rFonts w:ascii="Courier New" w:eastAsia="Times New Roman" w:hAnsi="Courier New" w:cs="Courier New"/>
      <w:sz w:val="20"/>
      <w:szCs w:val="20"/>
    </w:rPr>
  </w:style>
  <w:style w:type="paragraph" w:styleId="Header">
    <w:name w:val="header"/>
    <w:basedOn w:val="Normal"/>
    <w:link w:val="HeaderChar"/>
    <w:uiPriority w:val="99"/>
    <w:unhideWhenUsed/>
    <w:rsid w:val="00EE1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60D"/>
  </w:style>
  <w:style w:type="paragraph" w:styleId="Footer">
    <w:name w:val="footer"/>
    <w:basedOn w:val="Normal"/>
    <w:link w:val="FooterChar"/>
    <w:uiPriority w:val="99"/>
    <w:unhideWhenUsed/>
    <w:rsid w:val="00EE1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60D"/>
  </w:style>
  <w:style w:type="character" w:styleId="CommentReference">
    <w:name w:val="annotation reference"/>
    <w:basedOn w:val="DefaultParagraphFont"/>
    <w:uiPriority w:val="99"/>
    <w:semiHidden/>
    <w:unhideWhenUsed/>
    <w:rsid w:val="00AD0BC9"/>
    <w:rPr>
      <w:sz w:val="16"/>
      <w:szCs w:val="16"/>
    </w:rPr>
  </w:style>
  <w:style w:type="paragraph" w:styleId="CommentText">
    <w:name w:val="annotation text"/>
    <w:basedOn w:val="Normal"/>
    <w:link w:val="CommentTextChar"/>
    <w:uiPriority w:val="99"/>
    <w:semiHidden/>
    <w:unhideWhenUsed/>
    <w:rsid w:val="00AD0BC9"/>
    <w:pPr>
      <w:spacing w:line="240" w:lineRule="auto"/>
    </w:pPr>
    <w:rPr>
      <w:sz w:val="20"/>
      <w:szCs w:val="20"/>
    </w:rPr>
  </w:style>
  <w:style w:type="character" w:customStyle="1" w:styleId="CommentTextChar">
    <w:name w:val="Comment Text Char"/>
    <w:basedOn w:val="DefaultParagraphFont"/>
    <w:link w:val="CommentText"/>
    <w:uiPriority w:val="99"/>
    <w:semiHidden/>
    <w:rsid w:val="00AD0BC9"/>
    <w:rPr>
      <w:sz w:val="20"/>
      <w:szCs w:val="20"/>
    </w:rPr>
  </w:style>
  <w:style w:type="paragraph" w:styleId="CommentSubject">
    <w:name w:val="annotation subject"/>
    <w:basedOn w:val="CommentText"/>
    <w:next w:val="CommentText"/>
    <w:link w:val="CommentSubjectChar"/>
    <w:uiPriority w:val="99"/>
    <w:semiHidden/>
    <w:unhideWhenUsed/>
    <w:rsid w:val="00AD0BC9"/>
    <w:rPr>
      <w:b/>
      <w:bCs/>
    </w:rPr>
  </w:style>
  <w:style w:type="character" w:customStyle="1" w:styleId="CommentSubjectChar">
    <w:name w:val="Comment Subject Char"/>
    <w:basedOn w:val="CommentTextChar"/>
    <w:link w:val="CommentSubject"/>
    <w:uiPriority w:val="99"/>
    <w:semiHidden/>
    <w:rsid w:val="00AD0BC9"/>
    <w:rPr>
      <w:b/>
      <w:bCs/>
      <w:sz w:val="20"/>
      <w:szCs w:val="20"/>
    </w:rPr>
  </w:style>
  <w:style w:type="character" w:styleId="Hyperlink">
    <w:name w:val="Hyperlink"/>
    <w:basedOn w:val="DefaultParagraphFont"/>
    <w:uiPriority w:val="99"/>
    <w:unhideWhenUsed/>
    <w:rsid w:val="006E608B"/>
    <w:rPr>
      <w:color w:val="467886" w:themeColor="hyperlink"/>
      <w:u w:val="single"/>
    </w:rPr>
  </w:style>
  <w:style w:type="character" w:styleId="UnresolvedMention">
    <w:name w:val="Unresolved Mention"/>
    <w:basedOn w:val="DefaultParagraphFont"/>
    <w:uiPriority w:val="99"/>
    <w:semiHidden/>
    <w:unhideWhenUsed/>
    <w:rsid w:val="00005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3356">
      <w:bodyDiv w:val="1"/>
      <w:marLeft w:val="0"/>
      <w:marRight w:val="0"/>
      <w:marTop w:val="0"/>
      <w:marBottom w:val="0"/>
      <w:divBdr>
        <w:top w:val="none" w:sz="0" w:space="0" w:color="auto"/>
        <w:left w:val="none" w:sz="0" w:space="0" w:color="auto"/>
        <w:bottom w:val="none" w:sz="0" w:space="0" w:color="auto"/>
        <w:right w:val="none" w:sz="0" w:space="0" w:color="auto"/>
      </w:divBdr>
    </w:div>
    <w:div w:id="346105508">
      <w:bodyDiv w:val="1"/>
      <w:marLeft w:val="0"/>
      <w:marRight w:val="0"/>
      <w:marTop w:val="0"/>
      <w:marBottom w:val="0"/>
      <w:divBdr>
        <w:top w:val="none" w:sz="0" w:space="0" w:color="auto"/>
        <w:left w:val="none" w:sz="0" w:space="0" w:color="auto"/>
        <w:bottom w:val="none" w:sz="0" w:space="0" w:color="auto"/>
        <w:right w:val="none" w:sz="0" w:space="0" w:color="auto"/>
      </w:divBdr>
    </w:div>
    <w:div w:id="480343302">
      <w:bodyDiv w:val="1"/>
      <w:marLeft w:val="0"/>
      <w:marRight w:val="0"/>
      <w:marTop w:val="0"/>
      <w:marBottom w:val="0"/>
      <w:divBdr>
        <w:top w:val="none" w:sz="0" w:space="0" w:color="auto"/>
        <w:left w:val="none" w:sz="0" w:space="0" w:color="auto"/>
        <w:bottom w:val="none" w:sz="0" w:space="0" w:color="auto"/>
        <w:right w:val="none" w:sz="0" w:space="0" w:color="auto"/>
      </w:divBdr>
    </w:div>
    <w:div w:id="505511909">
      <w:bodyDiv w:val="1"/>
      <w:marLeft w:val="0"/>
      <w:marRight w:val="0"/>
      <w:marTop w:val="0"/>
      <w:marBottom w:val="0"/>
      <w:divBdr>
        <w:top w:val="none" w:sz="0" w:space="0" w:color="auto"/>
        <w:left w:val="none" w:sz="0" w:space="0" w:color="auto"/>
        <w:bottom w:val="none" w:sz="0" w:space="0" w:color="auto"/>
        <w:right w:val="none" w:sz="0" w:space="0" w:color="auto"/>
      </w:divBdr>
    </w:div>
    <w:div w:id="533621595">
      <w:bodyDiv w:val="1"/>
      <w:marLeft w:val="0"/>
      <w:marRight w:val="0"/>
      <w:marTop w:val="0"/>
      <w:marBottom w:val="0"/>
      <w:divBdr>
        <w:top w:val="none" w:sz="0" w:space="0" w:color="auto"/>
        <w:left w:val="none" w:sz="0" w:space="0" w:color="auto"/>
        <w:bottom w:val="none" w:sz="0" w:space="0" w:color="auto"/>
        <w:right w:val="none" w:sz="0" w:space="0" w:color="auto"/>
      </w:divBdr>
    </w:div>
    <w:div w:id="674914782">
      <w:bodyDiv w:val="1"/>
      <w:marLeft w:val="0"/>
      <w:marRight w:val="0"/>
      <w:marTop w:val="0"/>
      <w:marBottom w:val="0"/>
      <w:divBdr>
        <w:top w:val="none" w:sz="0" w:space="0" w:color="auto"/>
        <w:left w:val="none" w:sz="0" w:space="0" w:color="auto"/>
        <w:bottom w:val="none" w:sz="0" w:space="0" w:color="auto"/>
        <w:right w:val="none" w:sz="0" w:space="0" w:color="auto"/>
      </w:divBdr>
    </w:div>
    <w:div w:id="786703151">
      <w:bodyDiv w:val="1"/>
      <w:marLeft w:val="0"/>
      <w:marRight w:val="0"/>
      <w:marTop w:val="0"/>
      <w:marBottom w:val="0"/>
      <w:divBdr>
        <w:top w:val="none" w:sz="0" w:space="0" w:color="auto"/>
        <w:left w:val="none" w:sz="0" w:space="0" w:color="auto"/>
        <w:bottom w:val="none" w:sz="0" w:space="0" w:color="auto"/>
        <w:right w:val="none" w:sz="0" w:space="0" w:color="auto"/>
      </w:divBdr>
    </w:div>
    <w:div w:id="845365798">
      <w:bodyDiv w:val="1"/>
      <w:marLeft w:val="0"/>
      <w:marRight w:val="0"/>
      <w:marTop w:val="0"/>
      <w:marBottom w:val="0"/>
      <w:divBdr>
        <w:top w:val="none" w:sz="0" w:space="0" w:color="auto"/>
        <w:left w:val="none" w:sz="0" w:space="0" w:color="auto"/>
        <w:bottom w:val="none" w:sz="0" w:space="0" w:color="auto"/>
        <w:right w:val="none" w:sz="0" w:space="0" w:color="auto"/>
      </w:divBdr>
    </w:div>
    <w:div w:id="875122929">
      <w:bodyDiv w:val="1"/>
      <w:marLeft w:val="0"/>
      <w:marRight w:val="0"/>
      <w:marTop w:val="0"/>
      <w:marBottom w:val="0"/>
      <w:divBdr>
        <w:top w:val="none" w:sz="0" w:space="0" w:color="auto"/>
        <w:left w:val="none" w:sz="0" w:space="0" w:color="auto"/>
        <w:bottom w:val="none" w:sz="0" w:space="0" w:color="auto"/>
        <w:right w:val="none" w:sz="0" w:space="0" w:color="auto"/>
      </w:divBdr>
    </w:div>
    <w:div w:id="921527483">
      <w:bodyDiv w:val="1"/>
      <w:marLeft w:val="0"/>
      <w:marRight w:val="0"/>
      <w:marTop w:val="0"/>
      <w:marBottom w:val="0"/>
      <w:divBdr>
        <w:top w:val="none" w:sz="0" w:space="0" w:color="auto"/>
        <w:left w:val="none" w:sz="0" w:space="0" w:color="auto"/>
        <w:bottom w:val="none" w:sz="0" w:space="0" w:color="auto"/>
        <w:right w:val="none" w:sz="0" w:space="0" w:color="auto"/>
      </w:divBdr>
    </w:div>
    <w:div w:id="941765983">
      <w:bodyDiv w:val="1"/>
      <w:marLeft w:val="0"/>
      <w:marRight w:val="0"/>
      <w:marTop w:val="0"/>
      <w:marBottom w:val="0"/>
      <w:divBdr>
        <w:top w:val="none" w:sz="0" w:space="0" w:color="auto"/>
        <w:left w:val="none" w:sz="0" w:space="0" w:color="auto"/>
        <w:bottom w:val="none" w:sz="0" w:space="0" w:color="auto"/>
        <w:right w:val="none" w:sz="0" w:space="0" w:color="auto"/>
      </w:divBdr>
    </w:div>
    <w:div w:id="970981532">
      <w:bodyDiv w:val="1"/>
      <w:marLeft w:val="0"/>
      <w:marRight w:val="0"/>
      <w:marTop w:val="0"/>
      <w:marBottom w:val="0"/>
      <w:divBdr>
        <w:top w:val="none" w:sz="0" w:space="0" w:color="auto"/>
        <w:left w:val="none" w:sz="0" w:space="0" w:color="auto"/>
        <w:bottom w:val="none" w:sz="0" w:space="0" w:color="auto"/>
        <w:right w:val="none" w:sz="0" w:space="0" w:color="auto"/>
      </w:divBdr>
    </w:div>
    <w:div w:id="972054881">
      <w:bodyDiv w:val="1"/>
      <w:marLeft w:val="0"/>
      <w:marRight w:val="0"/>
      <w:marTop w:val="0"/>
      <w:marBottom w:val="0"/>
      <w:divBdr>
        <w:top w:val="none" w:sz="0" w:space="0" w:color="auto"/>
        <w:left w:val="none" w:sz="0" w:space="0" w:color="auto"/>
        <w:bottom w:val="none" w:sz="0" w:space="0" w:color="auto"/>
        <w:right w:val="none" w:sz="0" w:space="0" w:color="auto"/>
      </w:divBdr>
    </w:div>
    <w:div w:id="1006252678">
      <w:bodyDiv w:val="1"/>
      <w:marLeft w:val="0"/>
      <w:marRight w:val="0"/>
      <w:marTop w:val="0"/>
      <w:marBottom w:val="0"/>
      <w:divBdr>
        <w:top w:val="none" w:sz="0" w:space="0" w:color="auto"/>
        <w:left w:val="none" w:sz="0" w:space="0" w:color="auto"/>
        <w:bottom w:val="none" w:sz="0" w:space="0" w:color="auto"/>
        <w:right w:val="none" w:sz="0" w:space="0" w:color="auto"/>
      </w:divBdr>
    </w:div>
    <w:div w:id="1058357823">
      <w:bodyDiv w:val="1"/>
      <w:marLeft w:val="0"/>
      <w:marRight w:val="0"/>
      <w:marTop w:val="0"/>
      <w:marBottom w:val="0"/>
      <w:divBdr>
        <w:top w:val="none" w:sz="0" w:space="0" w:color="auto"/>
        <w:left w:val="none" w:sz="0" w:space="0" w:color="auto"/>
        <w:bottom w:val="none" w:sz="0" w:space="0" w:color="auto"/>
        <w:right w:val="none" w:sz="0" w:space="0" w:color="auto"/>
      </w:divBdr>
    </w:div>
    <w:div w:id="1065642540">
      <w:bodyDiv w:val="1"/>
      <w:marLeft w:val="0"/>
      <w:marRight w:val="0"/>
      <w:marTop w:val="0"/>
      <w:marBottom w:val="0"/>
      <w:divBdr>
        <w:top w:val="none" w:sz="0" w:space="0" w:color="auto"/>
        <w:left w:val="none" w:sz="0" w:space="0" w:color="auto"/>
        <w:bottom w:val="none" w:sz="0" w:space="0" w:color="auto"/>
        <w:right w:val="none" w:sz="0" w:space="0" w:color="auto"/>
      </w:divBdr>
    </w:div>
    <w:div w:id="1111782211">
      <w:bodyDiv w:val="1"/>
      <w:marLeft w:val="0"/>
      <w:marRight w:val="0"/>
      <w:marTop w:val="0"/>
      <w:marBottom w:val="0"/>
      <w:divBdr>
        <w:top w:val="none" w:sz="0" w:space="0" w:color="auto"/>
        <w:left w:val="none" w:sz="0" w:space="0" w:color="auto"/>
        <w:bottom w:val="none" w:sz="0" w:space="0" w:color="auto"/>
        <w:right w:val="none" w:sz="0" w:space="0" w:color="auto"/>
      </w:divBdr>
    </w:div>
    <w:div w:id="1145783862">
      <w:bodyDiv w:val="1"/>
      <w:marLeft w:val="0"/>
      <w:marRight w:val="0"/>
      <w:marTop w:val="0"/>
      <w:marBottom w:val="0"/>
      <w:divBdr>
        <w:top w:val="none" w:sz="0" w:space="0" w:color="auto"/>
        <w:left w:val="none" w:sz="0" w:space="0" w:color="auto"/>
        <w:bottom w:val="none" w:sz="0" w:space="0" w:color="auto"/>
        <w:right w:val="none" w:sz="0" w:space="0" w:color="auto"/>
      </w:divBdr>
    </w:div>
    <w:div w:id="1190877446">
      <w:bodyDiv w:val="1"/>
      <w:marLeft w:val="0"/>
      <w:marRight w:val="0"/>
      <w:marTop w:val="0"/>
      <w:marBottom w:val="0"/>
      <w:divBdr>
        <w:top w:val="none" w:sz="0" w:space="0" w:color="auto"/>
        <w:left w:val="none" w:sz="0" w:space="0" w:color="auto"/>
        <w:bottom w:val="none" w:sz="0" w:space="0" w:color="auto"/>
        <w:right w:val="none" w:sz="0" w:space="0" w:color="auto"/>
      </w:divBdr>
    </w:div>
    <w:div w:id="1308511745">
      <w:bodyDiv w:val="1"/>
      <w:marLeft w:val="0"/>
      <w:marRight w:val="0"/>
      <w:marTop w:val="0"/>
      <w:marBottom w:val="0"/>
      <w:divBdr>
        <w:top w:val="none" w:sz="0" w:space="0" w:color="auto"/>
        <w:left w:val="none" w:sz="0" w:space="0" w:color="auto"/>
        <w:bottom w:val="none" w:sz="0" w:space="0" w:color="auto"/>
        <w:right w:val="none" w:sz="0" w:space="0" w:color="auto"/>
      </w:divBdr>
    </w:div>
    <w:div w:id="1311013798">
      <w:bodyDiv w:val="1"/>
      <w:marLeft w:val="0"/>
      <w:marRight w:val="0"/>
      <w:marTop w:val="0"/>
      <w:marBottom w:val="0"/>
      <w:divBdr>
        <w:top w:val="none" w:sz="0" w:space="0" w:color="auto"/>
        <w:left w:val="none" w:sz="0" w:space="0" w:color="auto"/>
        <w:bottom w:val="none" w:sz="0" w:space="0" w:color="auto"/>
        <w:right w:val="none" w:sz="0" w:space="0" w:color="auto"/>
      </w:divBdr>
    </w:div>
    <w:div w:id="1372923053">
      <w:bodyDiv w:val="1"/>
      <w:marLeft w:val="0"/>
      <w:marRight w:val="0"/>
      <w:marTop w:val="0"/>
      <w:marBottom w:val="0"/>
      <w:divBdr>
        <w:top w:val="none" w:sz="0" w:space="0" w:color="auto"/>
        <w:left w:val="none" w:sz="0" w:space="0" w:color="auto"/>
        <w:bottom w:val="none" w:sz="0" w:space="0" w:color="auto"/>
        <w:right w:val="none" w:sz="0" w:space="0" w:color="auto"/>
      </w:divBdr>
    </w:div>
    <w:div w:id="1402215382">
      <w:bodyDiv w:val="1"/>
      <w:marLeft w:val="0"/>
      <w:marRight w:val="0"/>
      <w:marTop w:val="0"/>
      <w:marBottom w:val="0"/>
      <w:divBdr>
        <w:top w:val="none" w:sz="0" w:space="0" w:color="auto"/>
        <w:left w:val="none" w:sz="0" w:space="0" w:color="auto"/>
        <w:bottom w:val="none" w:sz="0" w:space="0" w:color="auto"/>
        <w:right w:val="none" w:sz="0" w:space="0" w:color="auto"/>
      </w:divBdr>
    </w:div>
    <w:div w:id="1445808699">
      <w:bodyDiv w:val="1"/>
      <w:marLeft w:val="0"/>
      <w:marRight w:val="0"/>
      <w:marTop w:val="0"/>
      <w:marBottom w:val="0"/>
      <w:divBdr>
        <w:top w:val="none" w:sz="0" w:space="0" w:color="auto"/>
        <w:left w:val="none" w:sz="0" w:space="0" w:color="auto"/>
        <w:bottom w:val="none" w:sz="0" w:space="0" w:color="auto"/>
        <w:right w:val="none" w:sz="0" w:space="0" w:color="auto"/>
      </w:divBdr>
    </w:div>
    <w:div w:id="1492408160">
      <w:bodyDiv w:val="1"/>
      <w:marLeft w:val="0"/>
      <w:marRight w:val="0"/>
      <w:marTop w:val="0"/>
      <w:marBottom w:val="0"/>
      <w:divBdr>
        <w:top w:val="none" w:sz="0" w:space="0" w:color="auto"/>
        <w:left w:val="none" w:sz="0" w:space="0" w:color="auto"/>
        <w:bottom w:val="none" w:sz="0" w:space="0" w:color="auto"/>
        <w:right w:val="none" w:sz="0" w:space="0" w:color="auto"/>
      </w:divBdr>
    </w:div>
    <w:div w:id="1520654904">
      <w:bodyDiv w:val="1"/>
      <w:marLeft w:val="0"/>
      <w:marRight w:val="0"/>
      <w:marTop w:val="0"/>
      <w:marBottom w:val="0"/>
      <w:divBdr>
        <w:top w:val="none" w:sz="0" w:space="0" w:color="auto"/>
        <w:left w:val="none" w:sz="0" w:space="0" w:color="auto"/>
        <w:bottom w:val="none" w:sz="0" w:space="0" w:color="auto"/>
        <w:right w:val="none" w:sz="0" w:space="0" w:color="auto"/>
      </w:divBdr>
    </w:div>
    <w:div w:id="1686713598">
      <w:bodyDiv w:val="1"/>
      <w:marLeft w:val="0"/>
      <w:marRight w:val="0"/>
      <w:marTop w:val="0"/>
      <w:marBottom w:val="0"/>
      <w:divBdr>
        <w:top w:val="none" w:sz="0" w:space="0" w:color="auto"/>
        <w:left w:val="none" w:sz="0" w:space="0" w:color="auto"/>
        <w:bottom w:val="none" w:sz="0" w:space="0" w:color="auto"/>
        <w:right w:val="none" w:sz="0" w:space="0" w:color="auto"/>
      </w:divBdr>
    </w:div>
    <w:div w:id="1732339225">
      <w:bodyDiv w:val="1"/>
      <w:marLeft w:val="0"/>
      <w:marRight w:val="0"/>
      <w:marTop w:val="0"/>
      <w:marBottom w:val="0"/>
      <w:divBdr>
        <w:top w:val="none" w:sz="0" w:space="0" w:color="auto"/>
        <w:left w:val="none" w:sz="0" w:space="0" w:color="auto"/>
        <w:bottom w:val="none" w:sz="0" w:space="0" w:color="auto"/>
        <w:right w:val="none" w:sz="0" w:space="0" w:color="auto"/>
      </w:divBdr>
    </w:div>
    <w:div w:id="1841651154">
      <w:bodyDiv w:val="1"/>
      <w:marLeft w:val="0"/>
      <w:marRight w:val="0"/>
      <w:marTop w:val="0"/>
      <w:marBottom w:val="0"/>
      <w:divBdr>
        <w:top w:val="none" w:sz="0" w:space="0" w:color="auto"/>
        <w:left w:val="none" w:sz="0" w:space="0" w:color="auto"/>
        <w:bottom w:val="none" w:sz="0" w:space="0" w:color="auto"/>
        <w:right w:val="none" w:sz="0" w:space="0" w:color="auto"/>
      </w:divBdr>
    </w:div>
    <w:div w:id="1870488574">
      <w:bodyDiv w:val="1"/>
      <w:marLeft w:val="0"/>
      <w:marRight w:val="0"/>
      <w:marTop w:val="0"/>
      <w:marBottom w:val="0"/>
      <w:divBdr>
        <w:top w:val="none" w:sz="0" w:space="0" w:color="auto"/>
        <w:left w:val="none" w:sz="0" w:space="0" w:color="auto"/>
        <w:bottom w:val="none" w:sz="0" w:space="0" w:color="auto"/>
        <w:right w:val="none" w:sz="0" w:space="0" w:color="auto"/>
      </w:divBdr>
    </w:div>
    <w:div w:id="1928339659">
      <w:bodyDiv w:val="1"/>
      <w:marLeft w:val="0"/>
      <w:marRight w:val="0"/>
      <w:marTop w:val="0"/>
      <w:marBottom w:val="0"/>
      <w:divBdr>
        <w:top w:val="none" w:sz="0" w:space="0" w:color="auto"/>
        <w:left w:val="none" w:sz="0" w:space="0" w:color="auto"/>
        <w:bottom w:val="none" w:sz="0" w:space="0" w:color="auto"/>
        <w:right w:val="none" w:sz="0" w:space="0" w:color="auto"/>
      </w:divBdr>
    </w:div>
    <w:div w:id="1988128848">
      <w:bodyDiv w:val="1"/>
      <w:marLeft w:val="0"/>
      <w:marRight w:val="0"/>
      <w:marTop w:val="0"/>
      <w:marBottom w:val="0"/>
      <w:divBdr>
        <w:top w:val="none" w:sz="0" w:space="0" w:color="auto"/>
        <w:left w:val="none" w:sz="0" w:space="0" w:color="auto"/>
        <w:bottom w:val="none" w:sz="0" w:space="0" w:color="auto"/>
        <w:right w:val="none" w:sz="0" w:space="0" w:color="auto"/>
      </w:divBdr>
    </w:div>
    <w:div w:id="2048019323">
      <w:bodyDiv w:val="1"/>
      <w:marLeft w:val="0"/>
      <w:marRight w:val="0"/>
      <w:marTop w:val="0"/>
      <w:marBottom w:val="0"/>
      <w:divBdr>
        <w:top w:val="none" w:sz="0" w:space="0" w:color="auto"/>
        <w:left w:val="none" w:sz="0" w:space="0" w:color="auto"/>
        <w:bottom w:val="none" w:sz="0" w:space="0" w:color="auto"/>
        <w:right w:val="none" w:sz="0" w:space="0" w:color="auto"/>
      </w:divBdr>
    </w:div>
    <w:div w:id="2048291456">
      <w:bodyDiv w:val="1"/>
      <w:marLeft w:val="0"/>
      <w:marRight w:val="0"/>
      <w:marTop w:val="0"/>
      <w:marBottom w:val="0"/>
      <w:divBdr>
        <w:top w:val="none" w:sz="0" w:space="0" w:color="auto"/>
        <w:left w:val="none" w:sz="0" w:space="0" w:color="auto"/>
        <w:bottom w:val="none" w:sz="0" w:space="0" w:color="auto"/>
        <w:right w:val="none" w:sz="0" w:space="0" w:color="auto"/>
      </w:divBdr>
    </w:div>
    <w:div w:id="2079209461">
      <w:bodyDiv w:val="1"/>
      <w:marLeft w:val="0"/>
      <w:marRight w:val="0"/>
      <w:marTop w:val="0"/>
      <w:marBottom w:val="0"/>
      <w:divBdr>
        <w:top w:val="none" w:sz="0" w:space="0" w:color="auto"/>
        <w:left w:val="none" w:sz="0" w:space="0" w:color="auto"/>
        <w:bottom w:val="none" w:sz="0" w:space="0" w:color="auto"/>
        <w:right w:val="none" w:sz="0" w:space="0" w:color="auto"/>
      </w:divBdr>
    </w:div>
    <w:div w:id="21257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hyperlink" Target="https://www.nasdaq.com/articles/fintech/regulatory-news/reg-news-canadian-go-live-of-basel-iv-bcar-202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bis.org/fsi/fsisummaries/defcap_b3.pdf"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16/j.qref.2020.06.0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57/s41261-021-00181-1" TargetMode="External"/><Relationship Id="rId20" Type="http://schemas.openxmlformats.org/officeDocument/2006/relationships/hyperlink" Target="https://www.investopedia.com/terms/c/capitaladequacyratio.asp"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osfi-bsif.gc.ca/sites/default/files/2023-12/car24_chpt2.pdf" TargetMode="External"/><Relationship Id="rId28"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hyperlink" Target="https://www.regnology.net/en/resources/insights/basel-iv-a-jurisdictional-breakdown/"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www.investopedia.com/terms/t/tier-1-capital-ratio.as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jh0220@student.ubc.ca</dc:creator>
  <cp:keywords/>
  <dc:description/>
  <cp:lastModifiedBy>jh0220@student.ubc.ca</cp:lastModifiedBy>
  <cp:revision>22</cp:revision>
  <dcterms:created xsi:type="dcterms:W3CDTF">2025-03-10T11:33:00Z</dcterms:created>
  <dcterms:modified xsi:type="dcterms:W3CDTF">2025-04-14T22:05:00Z</dcterms:modified>
</cp:coreProperties>
</file>