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宋体"/>
        </w:rPr>
        <w:t>面向地球系统模型的全球网格数据生命周期：GriddingMachine框架更新与应用</w:t>
      </w:r>
    </w:p>
    <w:p>
      <w:r>
        <w:rPr>
          <w:rFonts w:ascii="Times New Roman" w:hAnsi="Times New Roman" w:eastAsia="宋体"/>
          <w:b/>
        </w:rPr>
        <w:t>姜皓（Hao Jiang）</w:t>
      </w:r>
      <w:r>
        <w:rPr>
          <w:rFonts w:ascii="Times New Roman" w:hAnsi="Times New Roman" w:eastAsia="宋体"/>
        </w:rPr>
        <w:t>^1，</w:t>
      </w:r>
      <w:r>
        <w:rPr>
          <w:rFonts w:ascii="Times New Roman" w:hAnsi="Times New Roman" w:eastAsia="宋体"/>
          <w:b/>
        </w:rPr>
        <w:t>王玉杰（Yujie Wang）</w:t>
      </w:r>
      <w:r>
        <w:rPr>
          <w:rFonts w:ascii="Times New Roman" w:hAnsi="Times New Roman" w:eastAsia="宋体"/>
        </w:rPr>
        <w:t>^1*</w:t>
      </w:r>
    </w:p>
    <w:p>
      <w:r>
        <w:rPr>
          <w:rFonts w:ascii="Times New Roman" w:hAnsi="Times New Roman" w:eastAsia="宋体"/>
        </w:rPr>
        <w:t>1. 中国科学技术大学地球和空间科学学院，安徽 合肥 230026</w:t>
      </w:r>
    </w:p>
    <w:p>
      <w:r>
        <w:rPr>
          <w:rFonts w:ascii="Times New Roman" w:hAnsi="Times New Roman" w:eastAsia="宋体"/>
        </w:rPr>
        <w:t>姜皓，E-mail：hao.jiang@mail.ustc.edu.cn；ORCID：https://orcid.org/0009-0009-8295-8661</w:t>
      </w:r>
    </w:p>
    <w:p>
      <w:r>
        <w:rPr>
          <w:rFonts w:ascii="Times New Roman" w:hAnsi="Times New Roman" w:eastAsia="宋体"/>
        </w:rPr>
        <w:t>\* 通讯作者：王玉杰，wyujie@ustc.edu.cn</w:t>
      </w:r>
    </w:p>
    <w:p>
      <w:pPr>
        <w:pStyle w:val="Heading1"/>
      </w:pPr>
      <w:r>
        <w:rPr>
          <w:rFonts w:ascii="Times New Roman" w:hAnsi="Times New Roman" w:eastAsia="宋体"/>
        </w:rPr>
        <w:t>摘要</w:t>
      </w:r>
    </w:p>
    <w:p>
      <w:r>
        <w:rPr>
          <w:rFonts w:ascii="Times New Roman" w:hAnsi="Times New Roman" w:eastAsia="宋体"/>
        </w:rPr>
        <w:t>地球系统模型依赖来自不同机构和产品体系的全球网格数据。即使数据已采用NetCDF等标准格式，源数据处理规则、标准产品标识、网络分发副本与模型实际输入仍可能由不同环节分别维护，给持续更新和可核验调用带来困难。本文在2022版GriddingMachine基础上，将数据生产、产品登记与分发、模型输入组织重构为连续的数据生命周期。数据生产与标准化层以共享YAML配置规范驱动源维度映射、坐标与数值变换、缺失值处理和质量控制；数据目录与可信分发层以独立目录维护逻辑标签、镜像及完整性元数据，并通过直接NetCDF和事务式获取对已登记完整性字段的产品进行字节数与SHA-256核验；模型输入组织层以统一读取、陆面参数融合和气象驱动组织连接标准产品与模型接口。NOAA OISST V2.1由四维源结构转换为1440×720标准网格，691 150个有效格点与独立参考逐点一致。对于ELEV和LAI两个内部压缩产品，直接NetCDF在环境A中分别降低48.3%和82.9%的缓存预热端到端中位时间，在环境B中分别降低53.6%和69.2%。校园网内4个代表性产品经FTP和Zenodo完成24次同文件下载，文件大小与SHA-256均与目录登记值一致。14类陆面产品和8类ERA5逐时产品在US-NR1形成模型参数和气象驱动，8个字段的8784个时间步与底层NetCDF逐点一致，并完成Emerald初始化和60 s首步。结果表明，新版GriddingMachine能够连接异构源数据生产、标准产品登记、内容完整性核验和模型输入组织，形成面向地球系统模型的可执行数据生命周期，为全球网格数据产品的持续维护与复用提供轻量化基础设施。</w:t>
      </w:r>
    </w:p>
    <w:p>
      <w:r>
        <w:rPr>
          <w:rFonts w:ascii="Times New Roman" w:hAnsi="Times New Roman" w:eastAsia="宋体"/>
          <w:b/>
        </w:rPr>
        <w:t>关键词：</w:t>
      </w:r>
      <w:r>
        <w:rPr>
          <w:rFonts w:ascii="Times New Roman" w:hAnsi="Times New Roman" w:eastAsia="宋体"/>
        </w:rPr>
        <w:t xml:space="preserve"> 地球系统模型；全球网格数据；数据生命周期；NetCDF；数据完整性；模型输入</w:t>
      </w:r>
    </w:p>
    <w:p>
      <w:r>
        <w:rPr>
          <w:rFonts w:ascii="Times New Roman" w:hAnsi="Times New Roman" w:eastAsia="宋体"/>
          <w:b/>
        </w:rPr>
        <w:t>A Lifecycle Framework for Global Gridded Data in Earth System Models: Advances and Applications of GriddingMachine</w:t>
      </w:r>
    </w:p>
    <w:p>
      <w:r>
        <w:rPr>
          <w:rFonts w:ascii="Times New Roman" w:hAnsi="Times New Roman" w:eastAsia="宋体"/>
          <w:b/>
        </w:rPr>
        <w:t>Hao JIANG^1, Yujie WANG^1\</w:t>
      </w:r>
      <w:r>
        <w:rPr>
          <w:rFonts w:ascii="Times New Roman" w:hAnsi="Times New Roman" w:eastAsia="宋体"/>
        </w:rPr>
        <w:t>*</w:t>
      </w:r>
    </w:p>
    <w:p>
      <w:r>
        <w:rPr>
          <w:rFonts w:ascii="Times New Roman" w:hAnsi="Times New Roman" w:eastAsia="宋体"/>
        </w:rPr>
        <w:t>1. School of Earth and Space Sciences, University of Science and Technology of China, Hefei 230026, China</w:t>
      </w:r>
    </w:p>
    <w:p>
      <w:r>
        <w:rPr>
          <w:rFonts w:ascii="Times New Roman" w:hAnsi="Times New Roman" w:eastAsia="宋体"/>
        </w:rPr>
        <w:t>Hao Jiang, E-mail: hao.jiang@mail.ustc.edu.cn; ORCID: https://orcid.org/0009-0009-8295-8661</w:t>
      </w:r>
    </w:p>
    <w:p>
      <w:r>
        <w:rPr>
          <w:rFonts w:ascii="Times New Roman" w:hAnsi="Times New Roman" w:eastAsia="宋体"/>
        </w:rPr>
        <w:t>\* Corresponding author: Yujie Wang, wyujie@ustc.edu.cn</w:t>
      </w:r>
    </w:p>
    <w:p>
      <w:pPr>
        <w:pStyle w:val="Heading1"/>
      </w:pPr>
      <w:r>
        <w:rPr>
          <w:rFonts w:ascii="Times New Roman" w:hAnsi="Times New Roman" w:eastAsia="宋体"/>
        </w:rPr>
        <w:t>Abstract</w:t>
      </w:r>
    </w:p>
    <w:p>
      <w:r>
        <w:rPr>
          <w:rFonts w:ascii="Times New Roman" w:hAnsi="Times New Roman" w:eastAsia="宋体"/>
        </w:rPr>
        <w:t>Earth system models depend on global gridded datasets maintained by different institutions and product systems. Even when standardized formats such as NetCDF are used, source-processing rules, standardized product identities, network replicas, and the data structures actually consumed by models may evolve in separate maintenance layers. Building on the 2022 release, this study reorganizes GriddingMachine into a continuous data lifecycle comprising a data production and standardization layer, a catalog and trusted-distribution layer, and a model-input organization layer. A shared YAML contract drives source-dimension mapping, coordinate and numerical transformations, missing-value treatment, and quality control. An independent catalog manages logical labels, mirrors, and integrity metadata, while direct NetCDF and transactional acquisition verify file size and SHA-256 for entries that carry integrity records. Unified reading, land-parameter assembly, and meteorological forcing organization connect standardized products to model interfaces. NOAA OISST V2.1 was transformed from a four-dimensional source layout to a standardized 1440 × 720 grid, with 691,150 finite cells matching an independently decoded reference point by point. For the internally compressed ELEV and LAI products, direct NetCDF reduced median warm-cache end-to-end time by 48.3% and 82.9%, respectively, in environment A and by 53.6% and 69.2% in environment B. Four representative products were downloaded 24 times from FTP and Zenodo on the campus network, with file sizes and SHA-256 digests matching catalog records. Fourteen land products and eight hourly ERA5 products supplied model parameters and forcing for US-NR1; all 8,784 time steps in eight fields matched direct NetCDF reads, and Emerald initialization and a 60 s first step completed with finite states. The updated GriddingMachine connects heterogeneous-source production, standardized-product registration, integrity-verified acquisition, and model-input organization into an executable lifecycle for Earth system modeling.</w:t>
      </w:r>
    </w:p>
    <w:p>
      <w:r>
        <w:rPr>
          <w:rFonts w:ascii="Times New Roman" w:hAnsi="Times New Roman" w:eastAsia="宋体"/>
          <w:b/>
        </w:rPr>
        <w:t>Keywords:</w:t>
      </w:r>
      <w:r>
        <w:rPr>
          <w:rFonts w:ascii="Times New Roman" w:hAnsi="Times New Roman" w:eastAsia="宋体"/>
        </w:rPr>
        <w:t xml:space="preserve"> Earth system modeling; global gridded data; data lifecycle; NetCDF; data integrity; model input</w:t>
      </w:r>
    </w:p>
    <w:p>
      <w:pPr>
        <w:pStyle w:val="Heading1"/>
      </w:pPr>
      <w:r>
        <w:rPr>
          <w:rFonts w:ascii="Times New Roman" w:hAnsi="Times New Roman" w:eastAsia="宋体"/>
        </w:rPr>
        <w:t>1 引言</w:t>
      </w:r>
    </w:p>
    <w:p>
      <w:r>
        <w:rPr>
          <w:rFonts w:ascii="Times New Roman" w:hAnsi="Times New Roman" w:eastAsia="宋体"/>
        </w:rPr>
        <w:t>地球系统模型正在以更高的空间分辨率和更精细的过程表达描述陆地、大气、海洋及其相互作用。模型复杂度的提升使参数化、初始条件、边界条件、气象驱动和结果评估越来越依赖多源全球网格数据。此类数据通常由多个研究团队和业务机构生产，在文件格式、空间投影、维度顺序、经纬度方向、时间组织、单位、缩放方式、缺失值表示和元数据结构等方面存在差异。研究人员需要串联数据发现、下载、重排或重投影、数值转换、质量检查和模型接口适配，才能把“可获得的数据”转化为可重复调用的模型输入。</w:t>
      </w:r>
    </w:p>
    <w:p>
      <w:r>
        <w:rPr>
          <w:rFonts w:ascii="Times New Roman" w:hAnsi="Times New Roman" w:eastAsia="宋体"/>
        </w:rPr>
        <w:t>科学数据管理正在由单纯的数据公开转向强调可发现、可获取、可互操作和可复用的FAIR原则[1]。NetCDF具有自描述、跨系统和适合多维数组等特点，CF元数据约定进一步通过坐标、物理量、单位和时空属性促进不同数据源之间的解释与处理[2]。Google Earth Engine等云平台显著提升了大尺度遥感数据的访问和分析能力[3]。机构服务器、团队存储和公共存储共同构成当前地学数据分发生态。这些标准与平台分别改善了数据表达、发现、计算或访问，但对于面向固定版本、离线缓存和模型直接调用的工作流，仍需要把数据转换规则、标准产品标识、网络获取内容和下游模型接口连接起来。</w:t>
      </w:r>
    </w:p>
    <w:p>
      <w:r>
        <w:rPr>
          <w:rFonts w:ascii="Times New Roman" w:hAnsi="Times New Roman" w:eastAsia="宋体"/>
        </w:rPr>
        <w:t>王玉杰等[4]于2022年提出GriddingMachine，将常用于陆面和地球系统模拟的全球数据处理为具有统一空间和变量约定的NetCDF文件，并通过标签、</w:t>
      </w:r>
      <w:r>
        <w:rPr>
          <w:rFonts w:ascii="Consolas" w:hAnsi="Consolas" w:eastAsia="等线"/>
        </w:rPr>
        <w:t>Artifacts.toml</w:t>
      </w:r>
      <w:r>
        <w:rPr>
          <w:rFonts w:ascii="Times New Roman" w:hAnsi="Times New Roman" w:eastAsia="宋体"/>
        </w:rPr>
        <w:t>和Julia artifact机制实现数据管理和自动下载，同时提供Julia、MATLAB、Octave、Python和R接口。旧版已经规定经纬度方向、空间分辨率、变量名称、缺失值、单位、引用信息和处理日志，目录中也记录SHA-1、SHA-256和一个或多个下载URL。新版在此基础上进一步面向产品体系扩展，组织生产规则、产品目录、分发副本与模型输入之间的一致关系。</w:t>
      </w:r>
    </w:p>
    <w:p>
      <w:r>
        <w:rPr>
          <w:rFonts w:ascii="Times New Roman" w:hAnsi="Times New Roman" w:eastAsia="宋体"/>
        </w:rPr>
        <w:t>在相关技术基础方面，NetCDF支持机器无关的多维科学数据访问[5]，地球系统数据立方体强调多变量时空数据的统一组织[6]，Julia为高性能科学计算与可组合方法实现提供支撑[7]，研究软件引用原则则强调可识别版本及其学术贡献[8]。新版GriddingMachine将这些实践落实到标准产品的生成、登记、获取和模型调用流程中。</w:t>
      </w:r>
    </w:p>
    <w:p>
      <w:r>
        <w:rPr>
          <w:rFonts w:ascii="Times New Roman" w:hAnsi="Times New Roman" w:eastAsia="宋体"/>
        </w:rPr>
        <w:t>随着产品类型、分发位置和模型应用链条扩展，源数据处理规则、标准产品版本、网络分发副本和模型实际读取对象需要在保持统一标签语义的同时分别更新。统一文件格式为跨环节协同奠定基础，源数据维度和缩放规则的显式表达、网络文件与目录登记产品的内容核对，以及空间索引、字段组织、时间轴和量纲衔接进一步把标准产品转化为模型输入。为此，本文在延续2022版统一数据标准与标签访问的基础上，建立从异构源数据到模型输入的连续、可执行并可核验的数据生命周期。</w:t>
      </w:r>
    </w:p>
    <w:p>
      <w:r>
        <w:rPr>
          <w:rFonts w:ascii="Times New Roman" w:hAnsi="Times New Roman" w:eastAsia="宋体"/>
        </w:rPr>
        <w:t>围绕这一问题，新版GriddingMachine形成三个相互衔接的功能层。第一，数据生产与标准化层以共享YAML配置规范表达源维度、坐标、数值变换、Gapfill和质量控制，使异构源到标准NetCDF的转换规则成为可执行生产契约。第二，数据目录与可信分发层将数据目录与访问软件解耦，以逻辑标签连接发布副本，并通过直接NetCDF与事务式获取组织下载路径；对于登记了文件字节数和SHA-256的条目，获取流程进一步执行严格内容核验以维护稳定产品标识。第三，模型输入组织层以稳定标签连接统一读取、陆面参数融合和气象驱动组织，使标准产品形成满足模型接口要求的数据结构。三层共同构成“异构数据生产—产品登记与完整性核验—模型输入组织”的连续路径。</w:t>
      </w:r>
    </w:p>
    <w:p>
      <w:r>
        <w:rPr>
          <w:rFonts w:ascii="Times New Roman" w:hAnsi="Times New Roman" w:eastAsia="宋体"/>
        </w:rPr>
        <w:t>本文采用受控实例与真实地学数据分层评价上述路径：以31组生产实例和OISST V2.1数据转换[9]检验标准化规则及真实异构源适配；以ELEV和LAI比较直接NetCDF与外层</w:t>
      </w:r>
      <w:r>
        <w:rPr>
          <w:rFonts w:ascii="Consolas" w:hAnsi="Consolas" w:eastAsia="等线"/>
        </w:rPr>
        <w:t>tar.gz</w:t>
      </w:r>
      <w:r>
        <w:rPr>
          <w:rFonts w:ascii="Times New Roman" w:hAnsi="Times New Roman" w:eastAsia="宋体"/>
        </w:rPr>
        <w:t>的分发路径，并结合13类受控状态场景及FTP—Zenodo同文件获取检验事务式多镜像机制；以14类陆面数据和8类ERA5逐时数据[10]构成的US-NR1案例检验标准NetCDF到模型输入组织的接口链路。跨操作系统持续集成作为横向验证，用于检查固定依赖条件下核心实现的运行一致性。</w:t>
      </w:r>
    </w:p>
    <w:p>
      <w:pPr>
        <w:pStyle w:val="Heading1"/>
      </w:pPr>
      <w:r>
        <w:rPr>
          <w:rFonts w:ascii="Times New Roman" w:hAnsi="Times New Roman" w:eastAsia="宋体"/>
        </w:rPr>
        <w:t>2 框架设计与关键方法</w:t>
      </w:r>
    </w:p>
    <w:p>
      <w:pPr>
        <w:pStyle w:val="Heading2"/>
      </w:pPr>
      <w:r>
        <w:rPr>
          <w:rFonts w:ascii="Times New Roman" w:hAnsi="Times New Roman" w:eastAsia="宋体"/>
        </w:rPr>
        <w:t>2.1 总体架构与数据生命周期</w:t>
      </w:r>
    </w:p>
    <w:p>
      <w:r>
        <w:rPr>
          <w:rFonts w:ascii="Times New Roman" w:hAnsi="Times New Roman" w:eastAsia="宋体"/>
        </w:rPr>
        <w:t>GriddingMachine新版围绕三个相互衔接的生命周期层次组织（图1）：数据生产与标准化层负责把来源、结构和数值约定不同的地学数据转换为标准NetCDF；数据目录与可信分发层负责维护标签、版本、镜像和完整性元数据，并使数据目录能够独立于</w:t>
      </w:r>
      <w:r>
        <w:rPr>
          <w:rFonts w:ascii="Consolas" w:hAnsi="Consolas" w:eastAsia="等线"/>
        </w:rPr>
        <w:t>GriddingMachine.jl</w:t>
      </w:r>
      <w:r>
        <w:rPr>
          <w:rFonts w:ascii="Times New Roman" w:hAnsi="Times New Roman" w:eastAsia="宋体"/>
        </w:rPr>
        <w:t>软件包版本更新；模型输入组织层负责数据发现、获取、读取以及陆面参数和气象驱动组织。数据生产与标准化层主要由</w:t>
      </w:r>
      <w:r>
        <w:rPr>
          <w:rFonts w:ascii="Consolas" w:hAnsi="Consolas" w:eastAsia="等线"/>
        </w:rPr>
        <w:t>GriddingMachineDatasets</w:t>
      </w:r>
      <w:r>
        <w:rPr>
          <w:rFonts w:ascii="Times New Roman" w:hAnsi="Times New Roman" w:eastAsia="宋体"/>
        </w:rPr>
        <w:t>承担，数据目录与可信分发层及模型输入组织层主要由</w:t>
      </w:r>
      <w:r>
        <w:rPr>
          <w:rFonts w:ascii="Consolas" w:hAnsi="Consolas" w:eastAsia="等线"/>
        </w:rPr>
        <w:t>GriddingMachine.jl</w:t>
      </w:r>
      <w:r>
        <w:rPr>
          <w:rFonts w:ascii="Times New Roman" w:hAnsi="Times New Roman" w:eastAsia="宋体"/>
        </w:rPr>
        <w:t>承担。三层共同形成“生产—质控—发布—发现—下载—读取—模型调用”的数据生命周期，其中各层通过标准NetCDF和稳定标签衔接，同时保留独立演化的维护边界。</w:t>
      </w:r>
    </w:p>
    <w:p>
      <w:pPr>
        <w:jc w:val="center"/>
      </w:pPr>
      <w:r>
        <w:drawing>
          <wp:inline xmlns:a="http://schemas.openxmlformats.org/drawingml/2006/main" xmlns:pic="http://schemas.openxmlformats.org/drawingml/2006/picture">
            <wp:extent cx="5400000" cy="3038400"/>
            <wp:docPr id="1" name="Picture 1"/>
            <wp:cNvGraphicFramePr>
              <a:graphicFrameLocks noChangeAspect="1"/>
            </wp:cNvGraphicFramePr>
            <a:graphic>
              <a:graphicData uri="http://schemas.openxmlformats.org/drawingml/2006/picture">
                <pic:pic>
                  <pic:nvPicPr>
                    <pic:cNvPr id="0" name="图1_GriddingMachine总体架构_终稿.png"/>
                    <pic:cNvPicPr/>
                  </pic:nvPicPr>
                  <pic:blipFill>
                    <a:blip r:embed="rId9"/>
                    <a:stretch>
                      <a:fillRect/>
                    </a:stretch>
                  </pic:blipFill>
                  <pic:spPr>
                    <a:xfrm>
                      <a:off x="0" y="0"/>
                      <a:ext cx="5400000" cy="3038400"/>
                    </a:xfrm>
                    <a:prstGeom prst="rect"/>
                  </pic:spPr>
                </pic:pic>
              </a:graphicData>
            </a:graphic>
          </wp:inline>
        </w:drawing>
      </w:r>
    </w:p>
    <w:p>
      <w:pPr>
        <w:ind w:firstLine="0"/>
      </w:pPr>
      <w:r>
        <w:rPr>
          <w:rFonts w:ascii="Times New Roman" w:hAnsi="Times New Roman" w:eastAsia="宋体"/>
          <w:b/>
        </w:rPr>
        <w:t>图1 GriddingMachine从2022版基线到新版数据生命周期的架构更新</w:t>
      </w:r>
      <w:r>
        <w:rPr>
          <w:rFonts w:ascii="Times New Roman" w:hAnsi="Times New Roman" w:eastAsia="宋体"/>
        </w:rPr>
        <w:t xml:space="preserve"> （a）2022版以数据集专用脚本、</w:t>
      </w:r>
      <w:r>
        <w:rPr>
          <w:rFonts w:ascii="Consolas" w:hAnsi="Consolas" w:eastAsia="等线"/>
        </w:rPr>
        <w:t>tar.gz</w:t>
      </w:r>
      <w:r>
        <w:rPr>
          <w:rFonts w:ascii="Times New Roman" w:hAnsi="Times New Roman" w:eastAsia="宋体"/>
        </w:rPr>
        <w:t>制品、包内数据目录和</w:t>
      </w:r>
      <w:r>
        <w:rPr>
          <w:rFonts w:ascii="Consolas" w:hAnsi="Consolas" w:eastAsia="等线"/>
        </w:rPr>
        <w:t>read_LUT</w:t>
      </w:r>
      <w:r>
        <w:rPr>
          <w:rFonts w:ascii="Times New Roman" w:hAnsi="Times New Roman" w:eastAsia="宋体"/>
        </w:rPr>
        <w:t>构成数据预处理、分发与读取路径；（b）新版由数据生产与标准化层、数据目录与可信分发层和模型输入组织层构成，依次连接异构源数据、共享YAML契约、标准化与质量控制、标准NetCDF、独立数据目录、完整性获取以及统一读取和模型调用；（c）O1—O5依次表示统一数据契约、简化数据制品、目录独立演化、事务式获取和模型就绪接口。橙色虚线标示各项更新相对于2022版基线及新版核心节点的对应关系。</w:t>
      </w:r>
    </w:p>
    <w:p>
      <w:pPr>
        <w:ind w:firstLine="0"/>
      </w:pPr>
      <w:r>
        <w:rPr>
          <w:rFonts w:ascii="Times New Roman" w:hAnsi="Times New Roman" w:eastAsia="宋体"/>
          <w:b/>
        </w:rPr>
        <w:t>Fig. 1 Architectural updates from the 2022 GriddingMachine baseline to the updated data lifecycle.</w:t>
      </w:r>
      <w:r>
        <w:rPr>
          <w:rFonts w:ascii="Times New Roman" w:hAnsi="Times New Roman" w:eastAsia="宋体"/>
        </w:rPr>
        <w:t xml:space="preserve"> (a) The 2022 release connected dataset-specific scripts, </w:t>
      </w:r>
      <w:r>
        <w:rPr>
          <w:rFonts w:ascii="Consolas" w:hAnsi="Consolas" w:eastAsia="等线"/>
        </w:rPr>
        <w:t>tar.gz</w:t>
      </w:r>
      <w:r>
        <w:rPr>
          <w:rFonts w:ascii="Times New Roman" w:hAnsi="Times New Roman" w:eastAsia="宋体"/>
        </w:rPr>
        <w:t xml:space="preserve"> artifacts, an in-package catalog, and </w:t>
      </w:r>
      <w:r>
        <w:rPr>
          <w:rFonts w:ascii="Consolas" w:hAnsi="Consolas" w:eastAsia="等线"/>
        </w:rPr>
        <w:t>read_LUT</w:t>
      </w:r>
      <w:r>
        <w:rPr>
          <w:rFonts w:ascii="Times New Roman" w:hAnsi="Times New Roman" w:eastAsia="宋体"/>
        </w:rPr>
        <w:t xml:space="preserve"> across data preprocessing, distribution, and access. (b) The updated lifecycle comprises a data production and standardization layer, a catalog and trusted-distribution layer, and a model-input organization layer, connecting heterogeneous source data, a shared YAML contract, standardization and quality control, standard NetCDF data, an independent catalog, integrity-verified acquisition, and unified reading and model invocation. (c) O1--O5 denote the unified data contract, simplified data artifacts, independent catalog evolution, transactional acquisition, and model-ready interfaces. Orange dashed lines map these updates to the corresponding baseline components and core nodes in the updated workflow.</w:t>
      </w:r>
    </w:p>
    <w:p>
      <w:r>
        <w:rPr>
          <w:rFonts w:ascii="Times New Roman" w:hAnsi="Times New Roman" w:eastAsia="宋体"/>
        </w:rPr>
        <w:t>在数据生产与标准化层，原始数据及其处理规则分别作为数据输入和YAML配置输入。新版使用共享配置规范描述原始文件组合、源变量、经纬度方向、源维度语义、数值变换、有效范围、Gapfill及输出元数据；配置构建器与处理流水线遵循同一规范。生产引擎依据配置枚举输入，依次完成读取、标准化、质量控制和保存，最终生成以统一标签命名的NetCDF数据。维度、坐标、数值和空间方向检查嵌入生产流程，使标准数据在生成阶段即具有清晰的数据语义。</w:t>
      </w:r>
    </w:p>
    <w:p>
      <w:r>
        <w:rPr>
          <w:rFonts w:ascii="Times New Roman" w:hAnsi="Times New Roman" w:eastAsia="宋体"/>
        </w:rPr>
        <w:t>通过质量控制的数据产品可发布到机构FTP、HTTP(S)服务或Zenodo等公共存储位置。同一标签可对应多个内容相同的网络副本，本文将其称为多镜像分发。独立数据目录登记相对路径和镜像地址，并可为新登记或需要严格完整性管理的条目记录文件字节数和SHA-256；目录生成过程从权威标准文件计算相应完整性元数据并以事务方式写入YAML。目录与访问软件分开维护，支持数据产品列表及其分发位置独立更新。</w:t>
      </w:r>
    </w:p>
    <w:p>
      <w:r>
        <w:rPr>
          <w:rFonts w:ascii="Times New Roman" w:hAnsi="Times New Roman" w:eastAsia="宋体"/>
        </w:rPr>
        <w:t>在数据目录与可信分发层，目录管理模块显式设置数据根目录与目录来源。目录更新经临时文件完成配置规范校验和事务式替换，并保留上一有效版本。数据获取模块提取各镜像地址的主机名，以可获得的平均往返延迟辅助确定候选顺序，同时保留全部镜像并依次回退。每次传输创建独立临时文件。对于登记了</w:t>
      </w:r>
      <w:r>
        <w:rPr>
          <w:rFonts w:ascii="Consolas" w:hAnsi="Consolas" w:eastAsia="等线"/>
        </w:rPr>
        <w:t>SIZE</w:t>
      </w:r>
      <w:r>
        <w:rPr>
          <w:rFonts w:ascii="Times New Roman" w:hAnsi="Times New Roman" w:eastAsia="宋体"/>
        </w:rPr>
        <w:t>和</w:t>
      </w:r>
      <w:r>
        <w:rPr>
          <w:rFonts w:ascii="Consolas" w:hAnsi="Consolas" w:eastAsia="等线"/>
        </w:rPr>
        <w:t>SHA256</w:t>
      </w:r>
      <w:r>
        <w:rPr>
          <w:rFonts w:ascii="Times New Roman" w:hAnsi="Times New Roman" w:eastAsia="宋体"/>
        </w:rPr>
        <w:t>的条目，文件通过字节数和摘要核验后进入正式数据目录；历史条目由兼容模式保持标签访问。本文将版本化目录、内容一致的镜像、事务式落盘和内容完整性校验共同构成的获取机制定义为“可信分发”。</w:t>
      </w:r>
    </w:p>
    <w:p>
      <w:r>
        <w:rPr>
          <w:rFonts w:ascii="Times New Roman" w:hAnsi="Times New Roman" w:eastAsia="宋体"/>
        </w:rPr>
        <w:t>模型输入组织层提供标签驱动的整场、指定周期及站点读取，并进一步完成格点尺度陆面参数融合与气象驱动组织。由14类产品组成的第二套陆面参数集合（代码标识为</w:t>
      </w:r>
      <w:r>
        <w:rPr>
          <w:rFonts w:ascii="Consolas" w:hAnsi="Consolas" w:eastAsia="等线"/>
        </w:rPr>
        <w:t>gm2</w:t>
      </w:r>
      <w:r>
        <w:rPr>
          <w:rFonts w:ascii="Times New Roman" w:hAnsi="Times New Roman" w:eastAsia="宋体"/>
        </w:rPr>
        <w:t>）贯通参数组织链路并进入Emerald初始化。本文所称“模型就绪”指标准产品经过格点索引、字段组织、时间轴构建和量纲衔接后形成满足Emerald初始化与首步运行的数据结构。</w:t>
      </w:r>
    </w:p>
    <w:p>
      <w:r>
        <w:rPr>
          <w:rFonts w:ascii="Times New Roman" w:hAnsi="Times New Roman" w:eastAsia="宋体"/>
        </w:rPr>
        <w:t>共享YAML、独立目录与统一读取接口共同重构了GriddingMachine的维护单元：数据处理规则由配置契约表达，数据产品与镜像由目录版本管理，模型应用继续使用稳定标签。该设计支持数据产品、分发目录和访问软件在保持接口一致的条件下分别更新，形成贯通生产、发布和应用的可维护数据生命周期。</w:t>
      </w:r>
    </w:p>
    <w:p>
      <w:r>
        <w:rPr>
          <w:rFonts w:ascii="Times New Roman" w:hAnsi="Times New Roman" w:eastAsia="宋体"/>
        </w:rPr>
        <w:t>表1概括2022版与新版的主要差异及其在数据生命周期中的作用。</w:t>
      </w:r>
    </w:p>
    <w:p>
      <w:pPr>
        <w:ind w:firstLine="0"/>
      </w:pPr>
      <w:r>
        <w:rPr>
          <w:rFonts w:ascii="Times New Roman" w:hAnsi="Times New Roman" w:eastAsia="宋体"/>
          <w:b/>
        </w:rPr>
        <w:t>表1 2022版与新版GriddingMachine的功能和技术路线比较</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宋体"/>
                <w:b/>
                <w:sz w:val="18"/>
              </w:rPr>
              <w:t>环节</w:t>
            </w:r>
          </w:p>
        </w:tc>
        <w:tc>
          <w:tcPr>
            <w:tcW w:type="dxa" w:w="2211"/>
            <w:shd w:fill="D9EAF7"/>
          </w:tcPr>
          <w:p>
            <w:r>
              <w:rPr>
                <w:b/>
                <w:sz w:val="18"/>
              </w:rPr>
            </w:r>
            <w:r>
              <w:rPr>
                <w:rFonts w:ascii="Times New Roman" w:hAnsi="Times New Roman" w:eastAsia="宋体"/>
                <w:b/>
                <w:sz w:val="18"/>
              </w:rPr>
              <w:t>2022版</w:t>
            </w:r>
          </w:p>
        </w:tc>
        <w:tc>
          <w:tcPr>
            <w:tcW w:type="dxa" w:w="2211"/>
            <w:shd w:fill="D9EAF7"/>
          </w:tcPr>
          <w:p>
            <w:r>
              <w:rPr>
                <w:b/>
                <w:sz w:val="18"/>
              </w:rPr>
            </w:r>
            <w:r>
              <w:rPr>
                <w:rFonts w:ascii="Times New Roman" w:hAnsi="Times New Roman" w:eastAsia="宋体"/>
                <w:b/>
                <w:sz w:val="18"/>
              </w:rPr>
              <w:t>新版</w:t>
            </w:r>
          </w:p>
        </w:tc>
        <w:tc>
          <w:tcPr>
            <w:tcW w:type="dxa" w:w="2211"/>
            <w:shd w:fill="D9EAF7"/>
          </w:tcPr>
          <w:p>
            <w:r>
              <w:rPr>
                <w:b/>
                <w:sz w:val="18"/>
              </w:rPr>
            </w:r>
            <w:r>
              <w:rPr>
                <w:rFonts w:ascii="Times New Roman" w:hAnsi="Times New Roman" w:eastAsia="宋体"/>
                <w:b/>
                <w:sz w:val="18"/>
              </w:rPr>
              <w:t>应用价值</w:t>
            </w:r>
          </w:p>
        </w:tc>
      </w:tr>
      <w:tr>
        <w:tc>
          <w:tcPr>
            <w:tcW w:type="dxa" w:w="2211"/>
          </w:tcPr>
          <w:p>
            <w:r>
              <w:rPr>
                <w:sz w:val="18"/>
              </w:rPr>
            </w:r>
            <w:r>
              <w:rPr>
                <w:rFonts w:ascii="Times New Roman" w:hAnsi="Times New Roman" w:eastAsia="宋体"/>
                <w:sz w:val="18"/>
              </w:rPr>
              <w:t>分发单元</w:t>
            </w:r>
          </w:p>
        </w:tc>
        <w:tc>
          <w:tcPr>
            <w:tcW w:type="dxa" w:w="2211"/>
          </w:tcPr>
          <w:p>
            <w:r>
              <w:rPr>
                <w:sz w:val="18"/>
              </w:rPr>
            </w:r>
            <w:r>
              <w:rPr>
                <w:rFonts w:ascii="Times New Roman" w:hAnsi="Times New Roman" w:eastAsia="宋体"/>
                <w:sz w:val="18"/>
              </w:rPr>
              <w:t>NetCDF的</w:t>
            </w:r>
            <w:r>
              <w:rPr>
                <w:rFonts w:ascii="Consolas" w:hAnsi="Consolas" w:eastAsia="等线"/>
                <w:sz w:val="18"/>
              </w:rPr>
              <w:t>tar.gz</w:t>
            </w:r>
            <w:r>
              <w:rPr>
                <w:rFonts w:ascii="Times New Roman" w:hAnsi="Times New Roman" w:eastAsia="宋体"/>
                <w:sz w:val="18"/>
              </w:rPr>
              <w:t xml:space="preserve"> artifact</w:t>
            </w:r>
          </w:p>
        </w:tc>
        <w:tc>
          <w:tcPr>
            <w:tcW w:type="dxa" w:w="2211"/>
          </w:tcPr>
          <w:p>
            <w:r>
              <w:rPr>
                <w:sz w:val="18"/>
              </w:rPr>
            </w:r>
            <w:r>
              <w:rPr>
                <w:rFonts w:ascii="Times New Roman" w:hAnsi="Times New Roman" w:eastAsia="宋体"/>
                <w:sz w:val="18"/>
              </w:rPr>
              <w:t>可直接读取的</w:t>
            </w:r>
            <w:r>
              <w:rPr>
                <w:rFonts w:ascii="Consolas" w:hAnsi="Consolas" w:eastAsia="等线"/>
                <w:sz w:val="18"/>
              </w:rPr>
              <w:t>.nc</w:t>
            </w:r>
          </w:p>
        </w:tc>
        <w:tc>
          <w:tcPr>
            <w:tcW w:type="dxa" w:w="2211"/>
          </w:tcPr>
          <w:p>
            <w:r>
              <w:rPr>
                <w:sz w:val="18"/>
              </w:rPr>
            </w:r>
            <w:r>
              <w:rPr>
                <w:rFonts w:ascii="Times New Roman" w:hAnsi="Times New Roman" w:eastAsia="宋体"/>
                <w:sz w:val="18"/>
              </w:rPr>
              <w:t>简化数据获取并降低端到端读取时间</w:t>
            </w:r>
          </w:p>
        </w:tc>
      </w:tr>
      <w:tr>
        <w:tc>
          <w:tcPr>
            <w:tcW w:type="dxa" w:w="2211"/>
          </w:tcPr>
          <w:p>
            <w:r>
              <w:rPr>
                <w:sz w:val="18"/>
              </w:rPr>
            </w:r>
            <w:r>
              <w:rPr>
                <w:rFonts w:ascii="Times New Roman" w:hAnsi="Times New Roman" w:eastAsia="宋体"/>
                <w:sz w:val="18"/>
              </w:rPr>
              <w:t>数据目录</w:t>
            </w:r>
          </w:p>
        </w:tc>
        <w:tc>
          <w:tcPr>
            <w:tcW w:type="dxa" w:w="2211"/>
          </w:tcPr>
          <w:p>
            <w:r>
              <w:rPr>
                <w:sz w:val="18"/>
              </w:rPr>
            </w:r>
            <w:r>
              <w:rPr>
                <w:rFonts w:ascii="Times New Roman" w:hAnsi="Times New Roman" w:eastAsia="宋体"/>
                <w:sz w:val="18"/>
              </w:rPr>
              <w:t>软件内置</w:t>
            </w:r>
            <w:r>
              <w:rPr>
                <w:rFonts w:ascii="Consolas" w:hAnsi="Consolas" w:eastAsia="等线"/>
                <w:sz w:val="18"/>
              </w:rPr>
              <w:t>Artifacts.toml</w:t>
            </w:r>
          </w:p>
        </w:tc>
        <w:tc>
          <w:tcPr>
            <w:tcW w:type="dxa" w:w="2211"/>
          </w:tcPr>
          <w:p>
            <w:r>
              <w:rPr>
                <w:sz w:val="18"/>
              </w:rPr>
            </w:r>
            <w:r>
              <w:rPr>
                <w:rFonts w:ascii="Times New Roman" w:hAnsi="Times New Roman" w:eastAsia="宋体"/>
                <w:sz w:val="18"/>
              </w:rPr>
              <w:t>独立</w:t>
            </w:r>
            <w:r>
              <w:rPr>
                <w:rFonts w:ascii="Consolas" w:hAnsi="Consolas" w:eastAsia="等线"/>
                <w:sz w:val="18"/>
              </w:rPr>
              <w:t>Artifacts.yaml</w:t>
            </w:r>
            <w:r>
              <w:rPr>
                <w:rFonts w:ascii="Times New Roman" w:hAnsi="Times New Roman" w:eastAsia="宋体"/>
                <w:sz w:val="18"/>
              </w:rPr>
              <w:t>；配置规范校验、事务更新和版本备份</w:t>
            </w:r>
          </w:p>
        </w:tc>
        <w:tc>
          <w:tcPr>
            <w:tcW w:type="dxa" w:w="2211"/>
          </w:tcPr>
          <w:p>
            <w:r>
              <w:rPr>
                <w:sz w:val="18"/>
              </w:rPr>
            </w:r>
            <w:r>
              <w:rPr>
                <w:rFonts w:ascii="Times New Roman" w:hAnsi="Times New Roman" w:eastAsia="宋体"/>
                <w:sz w:val="18"/>
              </w:rPr>
              <w:t>数据产品可独立于软件版本持续扩展</w:t>
            </w:r>
          </w:p>
        </w:tc>
      </w:tr>
      <w:tr>
        <w:tc>
          <w:tcPr>
            <w:tcW w:type="dxa" w:w="2211"/>
          </w:tcPr>
          <w:p>
            <w:r>
              <w:rPr>
                <w:sz w:val="18"/>
              </w:rPr>
            </w:r>
            <w:r>
              <w:rPr>
                <w:rFonts w:ascii="Times New Roman" w:hAnsi="Times New Roman" w:eastAsia="宋体"/>
                <w:sz w:val="18"/>
              </w:rPr>
              <w:t>下载</w:t>
            </w:r>
          </w:p>
        </w:tc>
        <w:tc>
          <w:tcPr>
            <w:tcW w:type="dxa" w:w="2211"/>
          </w:tcPr>
          <w:p>
            <w:r>
              <w:rPr>
                <w:sz w:val="18"/>
              </w:rPr>
            </w:r>
            <w:r>
              <w:rPr>
                <w:rFonts w:ascii="Times New Roman" w:hAnsi="Times New Roman" w:eastAsia="宋体"/>
                <w:sz w:val="18"/>
              </w:rPr>
              <w:t>artifact哈希寻址、多个URL和解包</w:t>
            </w:r>
          </w:p>
        </w:tc>
        <w:tc>
          <w:tcPr>
            <w:tcW w:type="dxa" w:w="2211"/>
          </w:tcPr>
          <w:p>
            <w:r>
              <w:rPr>
                <w:sz w:val="18"/>
              </w:rPr>
            </w:r>
            <w:r>
              <w:rPr>
                <w:rFonts w:ascii="Times New Roman" w:hAnsi="Times New Roman" w:eastAsia="宋体"/>
                <w:sz w:val="18"/>
              </w:rPr>
              <w:t>延迟信号辅助排序；多URL回退、独立临时文件；带</w:t>
            </w:r>
            <w:r>
              <w:rPr>
                <w:rFonts w:ascii="Consolas" w:hAnsi="Consolas" w:eastAsia="等线"/>
                <w:sz w:val="18"/>
              </w:rPr>
              <w:t>SIZE</w:t>
            </w:r>
            <w:r>
              <w:rPr>
                <w:rFonts w:ascii="Times New Roman" w:hAnsi="Times New Roman" w:eastAsia="宋体"/>
                <w:sz w:val="18"/>
              </w:rPr>
              <w:t>/</w:t>
            </w:r>
            <w:r>
              <w:rPr>
                <w:rFonts w:ascii="Consolas" w:hAnsi="Consolas" w:eastAsia="等线"/>
                <w:sz w:val="18"/>
              </w:rPr>
              <w:t>SHA256</w:t>
            </w:r>
            <w:r>
              <w:rPr>
                <w:rFonts w:ascii="Times New Roman" w:hAnsi="Times New Roman" w:eastAsia="宋体"/>
                <w:sz w:val="18"/>
              </w:rPr>
              <w:t>条目可执行严格核验后落盘</w:t>
            </w:r>
          </w:p>
        </w:tc>
        <w:tc>
          <w:tcPr>
            <w:tcW w:type="dxa" w:w="2211"/>
          </w:tcPr>
          <w:p>
            <w:r>
              <w:rPr>
                <w:sz w:val="18"/>
              </w:rPr>
            </w:r>
            <w:r>
              <w:rPr>
                <w:rFonts w:ascii="Times New Roman" w:hAnsi="Times New Roman" w:eastAsia="宋体"/>
                <w:sz w:val="18"/>
              </w:rPr>
              <w:t>将镜像选择与内容完整性判定分离，支持历史目录平滑迁移</w:t>
            </w:r>
          </w:p>
        </w:tc>
      </w:tr>
      <w:tr>
        <w:tc>
          <w:tcPr>
            <w:tcW w:type="dxa" w:w="2211"/>
          </w:tcPr>
          <w:p>
            <w:r>
              <w:rPr>
                <w:sz w:val="18"/>
              </w:rPr>
            </w:r>
            <w:r>
              <w:rPr>
                <w:rFonts w:ascii="Times New Roman" w:hAnsi="Times New Roman" w:eastAsia="宋体"/>
                <w:sz w:val="18"/>
              </w:rPr>
              <w:t>读取</w:t>
            </w:r>
          </w:p>
        </w:tc>
        <w:tc>
          <w:tcPr>
            <w:tcW w:type="dxa" w:w="2211"/>
          </w:tcPr>
          <w:p>
            <w:r>
              <w:rPr>
                <w:sz w:val="18"/>
              </w:rPr>
            </w:r>
            <w:r>
              <w:rPr>
                <w:rFonts w:ascii="Consolas" w:hAnsi="Consolas" w:eastAsia="等线"/>
                <w:sz w:val="18"/>
              </w:rPr>
              <w:t>read_LUT</w:t>
            </w:r>
          </w:p>
        </w:tc>
        <w:tc>
          <w:tcPr>
            <w:tcW w:type="dxa" w:w="2211"/>
          </w:tcPr>
          <w:p>
            <w:r>
              <w:rPr>
                <w:sz w:val="18"/>
              </w:rPr>
            </w:r>
            <w:r>
              <w:rPr>
                <w:rFonts w:ascii="Consolas" w:hAnsi="Consolas" w:eastAsia="等线"/>
                <w:sz w:val="18"/>
              </w:rPr>
              <w:t>read_dataset</w:t>
            </w:r>
            <w:r>
              <w:rPr>
                <w:rFonts w:ascii="Times New Roman" w:hAnsi="Times New Roman" w:eastAsia="宋体"/>
                <w:sz w:val="18"/>
              </w:rPr>
              <w:t>，旧名称保留为别名</w:t>
            </w:r>
          </w:p>
        </w:tc>
        <w:tc>
          <w:tcPr>
            <w:tcW w:type="dxa" w:w="2211"/>
          </w:tcPr>
          <w:p>
            <w:r>
              <w:rPr>
                <w:sz w:val="18"/>
              </w:rPr>
            </w:r>
            <w:r>
              <w:rPr>
                <w:rFonts w:ascii="Times New Roman" w:hAnsi="Times New Roman" w:eastAsia="宋体"/>
                <w:sz w:val="18"/>
              </w:rPr>
              <w:t>全球规则经纬网整场、周期和站点读取</w:t>
            </w:r>
          </w:p>
        </w:tc>
      </w:tr>
      <w:tr>
        <w:tc>
          <w:tcPr>
            <w:tcW w:type="dxa" w:w="2211"/>
          </w:tcPr>
          <w:p>
            <w:r>
              <w:rPr>
                <w:sz w:val="18"/>
              </w:rPr>
            </w:r>
            <w:r>
              <w:rPr>
                <w:rFonts w:ascii="Times New Roman" w:hAnsi="Times New Roman" w:eastAsia="宋体"/>
                <w:sz w:val="18"/>
              </w:rPr>
              <w:t>模型组织</w:t>
            </w:r>
          </w:p>
        </w:tc>
        <w:tc>
          <w:tcPr>
            <w:tcW w:type="dxa" w:w="2211"/>
          </w:tcPr>
          <w:p>
            <w:r>
              <w:rPr>
                <w:sz w:val="18"/>
              </w:rPr>
            </w:r>
            <w:r>
              <w:rPr>
                <w:rFonts w:ascii="Times New Roman" w:hAnsi="Times New Roman" w:eastAsia="宋体"/>
                <w:sz w:val="18"/>
              </w:rPr>
              <w:t>标准化数据和通用读取</w:t>
            </w:r>
          </w:p>
        </w:tc>
        <w:tc>
          <w:tcPr>
            <w:tcW w:type="dxa" w:w="2211"/>
          </w:tcPr>
          <w:p>
            <w:r>
              <w:rPr>
                <w:sz w:val="18"/>
              </w:rPr>
            </w:r>
            <w:r>
              <w:rPr>
                <w:rFonts w:ascii="Times New Roman" w:hAnsi="Times New Roman" w:eastAsia="宋体"/>
                <w:sz w:val="18"/>
              </w:rPr>
              <w:t>陆面参数融合与气象驱动组织</w:t>
            </w:r>
          </w:p>
        </w:tc>
        <w:tc>
          <w:tcPr>
            <w:tcW w:type="dxa" w:w="2211"/>
          </w:tcPr>
          <w:p>
            <w:r>
              <w:rPr>
                <w:sz w:val="18"/>
              </w:rPr>
            </w:r>
            <w:r>
              <w:rPr>
                <w:rFonts w:ascii="Times New Roman" w:hAnsi="Times New Roman" w:eastAsia="宋体"/>
                <w:sz w:val="18"/>
              </w:rPr>
              <w:t>标准产品进入Emerald参数组织与模型初始化</w:t>
            </w:r>
          </w:p>
        </w:tc>
      </w:tr>
      <w:tr>
        <w:tc>
          <w:tcPr>
            <w:tcW w:type="dxa" w:w="2211"/>
          </w:tcPr>
          <w:p>
            <w:r>
              <w:rPr>
                <w:sz w:val="18"/>
              </w:rPr>
            </w:r>
            <w:r>
              <w:rPr>
                <w:rFonts w:ascii="Times New Roman" w:hAnsi="Times New Roman" w:eastAsia="宋体"/>
                <w:sz w:val="18"/>
              </w:rPr>
              <w:t>数据生产</w:t>
            </w:r>
          </w:p>
        </w:tc>
        <w:tc>
          <w:tcPr>
            <w:tcW w:type="dxa" w:w="2211"/>
          </w:tcPr>
          <w:p>
            <w:r>
              <w:rPr>
                <w:sz w:val="18"/>
              </w:rPr>
            </w:r>
            <w:r>
              <w:rPr>
                <w:rFonts w:ascii="Times New Roman" w:hAnsi="Times New Roman" w:eastAsia="宋体"/>
                <w:sz w:val="18"/>
              </w:rPr>
              <w:t>数据源专用处理及贡献流程</w:t>
            </w:r>
          </w:p>
        </w:tc>
        <w:tc>
          <w:tcPr>
            <w:tcW w:type="dxa" w:w="2211"/>
          </w:tcPr>
          <w:p>
            <w:r>
              <w:rPr>
                <w:sz w:val="18"/>
              </w:rPr>
            </w:r>
            <w:r>
              <w:rPr>
                <w:rFonts w:ascii="Times New Roman" w:hAnsi="Times New Roman" w:eastAsia="宋体"/>
                <w:sz w:val="18"/>
              </w:rPr>
              <w:t>共享YAML配置规范、程序化与交互式配置生成及显式源维度映射</w:t>
            </w:r>
          </w:p>
        </w:tc>
        <w:tc>
          <w:tcPr>
            <w:tcW w:type="dxa" w:w="2211"/>
          </w:tcPr>
          <w:p>
            <w:r>
              <w:rPr>
                <w:sz w:val="18"/>
              </w:rPr>
            </w:r>
            <w:r>
              <w:rPr>
                <w:rFonts w:ascii="Times New Roman" w:hAnsi="Times New Roman" w:eastAsia="宋体"/>
                <w:sz w:val="18"/>
              </w:rPr>
              <w:t>形成共享的标准产品生产工作流</w:t>
            </w:r>
          </w:p>
        </w:tc>
      </w:tr>
    </w:tbl>
    <w:p>
      <w:pPr>
        <w:ind w:firstLine="0"/>
      </w:pPr>
      <w:r>
        <w:rPr>
          <w:rFonts w:ascii="Times New Roman" w:hAnsi="Times New Roman" w:eastAsia="宋体"/>
          <w:b/>
        </w:rPr>
        <w:t>Table 1 Comparison between the 2022 release and the updated GriddingMachine.</w:t>
      </w:r>
      <w:r>
        <w:rPr>
          <w:rFonts w:ascii="Times New Roman" w:hAnsi="Times New Roman" w:eastAsia="宋体"/>
        </w:rPr>
        <w:t xml:space="preserve"> The table summarizes the implemented mechanisms, workflow advances, and application value across the data lifecycle.</w:t>
      </w:r>
    </w:p>
    <w:p>
      <w:pPr>
        <w:pStyle w:val="Heading2"/>
      </w:pPr>
      <w:r>
        <w:rPr>
          <w:rFonts w:ascii="Times New Roman" w:hAnsi="Times New Roman" w:eastAsia="宋体"/>
        </w:rPr>
        <w:t>2.2 YAML驱动的数据生产与标准化</w:t>
      </w:r>
    </w:p>
    <w:p>
      <w:pPr>
        <w:pStyle w:val="Heading3"/>
      </w:pPr>
      <w:r>
        <w:rPr>
          <w:rFonts w:ascii="Times New Roman" w:hAnsi="Times New Roman" w:eastAsia="宋体"/>
        </w:rPr>
        <w:t>2.2.1 数据契约与维度映射</w:t>
      </w:r>
    </w:p>
    <w:p>
      <w:r>
        <w:rPr>
          <w:rFonts w:ascii="Times New Roman" w:hAnsi="Times New Roman" w:eastAsia="宋体"/>
        </w:rPr>
        <w:t xml:space="preserve">GriddingMachine 以 NetCDF 作为标准数据格式，原因是该格式能够在同一文件中保存多维数组、坐标和自描述元数据，并被多种地球科学软件读取。2022 年版本已经规定数据采用二维或三维规则经纬网，前两维依次为经度和纬度，可选第三维表示周期；经度自西向东、纬度自南向北，输出保存为实际物理值，缺失值在读取后统一表示为 </w:t>
      </w:r>
      <w:r>
        <w:rPr>
          <w:rFonts w:ascii="Consolas" w:hAnsi="Consolas" w:eastAsia="等线"/>
        </w:rPr>
        <w:t>NaN</w:t>
      </w:r>
      <w:r>
        <w:rPr>
          <w:rFonts w:ascii="Times New Roman" w:hAnsi="Times New Roman" w:eastAsia="宋体"/>
        </w:rPr>
        <w:t xml:space="preserve">，主变量和不确定性变量分别命名为 </w:t>
      </w:r>
      <w:r>
        <w:rPr>
          <w:rFonts w:ascii="Consolas" w:hAnsi="Consolas" w:eastAsia="等线"/>
        </w:rPr>
        <w:t>data</w:t>
      </w:r>
      <w:r>
        <w:rPr>
          <w:rFonts w:ascii="Times New Roman" w:hAnsi="Times New Roman" w:eastAsia="宋体"/>
        </w:rPr>
        <w:t xml:space="preserve"> 和 </w:t>
      </w:r>
      <w:r>
        <w:rPr>
          <w:rFonts w:ascii="Consolas" w:hAnsi="Consolas" w:eastAsia="等线"/>
        </w:rPr>
        <w:t>std</w:t>
      </w:r>
      <w:r>
        <w:rPr>
          <w:rFonts w:ascii="Times New Roman" w:hAnsi="Times New Roman" w:eastAsia="宋体"/>
        </w:rPr>
        <w:t>[4]。新版延续这些核心约定，并将源维度映射、处理记录、版本化配置和分发完整性纳入相互衔接的机器可读规范（表2）。</w:t>
      </w:r>
    </w:p>
    <w:p>
      <w:pPr>
        <w:ind w:firstLine="0"/>
      </w:pPr>
      <w:r>
        <w:rPr>
          <w:rFonts w:ascii="Times New Roman" w:hAnsi="Times New Roman" w:eastAsia="宋体"/>
          <w:b/>
        </w:rPr>
        <w:t>表2 GriddingMachine 标准 NetCDF 数据与元数据规范</w:t>
      </w:r>
    </w:p>
    <w:tbl>
      <w:tblPr>
        <w:tblStyle w:val="TableGrid"/>
        <w:tblW w:type="auto" w:w="0"/>
        <w:tblLook w:firstColumn="1" w:firstRow="1" w:lastColumn="0" w:lastRow="0" w:noHBand="0" w:noVBand="1" w:val="04A0"/>
      </w:tblPr>
      <w:tblGrid>
        <w:gridCol w:w="2948"/>
        <w:gridCol w:w="2948"/>
        <w:gridCol w:w="2948"/>
      </w:tblGrid>
      <w:tr>
        <w:tc>
          <w:tcPr>
            <w:tcW w:type="dxa" w:w="2948"/>
            <w:shd w:fill="D9EAF7"/>
          </w:tcPr>
          <w:p>
            <w:r>
              <w:rPr>
                <w:b/>
                <w:sz w:val="18"/>
              </w:rPr>
            </w:r>
            <w:r>
              <w:rPr>
                <w:rFonts w:ascii="Times New Roman" w:hAnsi="Times New Roman" w:eastAsia="宋体"/>
                <w:b/>
                <w:sz w:val="18"/>
              </w:rPr>
              <w:t>类别</w:t>
            </w:r>
          </w:p>
        </w:tc>
        <w:tc>
          <w:tcPr>
            <w:tcW w:type="dxa" w:w="2948"/>
            <w:shd w:fill="D9EAF7"/>
          </w:tcPr>
          <w:p>
            <w:r>
              <w:rPr>
                <w:b/>
                <w:sz w:val="18"/>
              </w:rPr>
            </w:r>
            <w:r>
              <w:rPr>
                <w:rFonts w:ascii="Times New Roman" w:hAnsi="Times New Roman" w:eastAsia="宋体"/>
                <w:b/>
                <w:sz w:val="18"/>
              </w:rPr>
              <w:t>新版规范</w:t>
            </w:r>
          </w:p>
        </w:tc>
        <w:tc>
          <w:tcPr>
            <w:tcW w:type="dxa" w:w="2948"/>
            <w:shd w:fill="D9EAF7"/>
          </w:tcPr>
          <w:p>
            <w:r>
              <w:rPr>
                <w:b/>
                <w:sz w:val="18"/>
              </w:rPr>
            </w:r>
            <w:r>
              <w:rPr>
                <w:rFonts w:ascii="Times New Roman" w:hAnsi="Times New Roman" w:eastAsia="宋体"/>
                <w:b/>
                <w:sz w:val="18"/>
              </w:rPr>
              <w:t>实现方式</w:t>
            </w:r>
          </w:p>
        </w:tc>
      </w:tr>
      <w:tr>
        <w:tc>
          <w:tcPr>
            <w:tcW w:type="dxa" w:w="2948"/>
          </w:tcPr>
          <w:p>
            <w:r>
              <w:rPr>
                <w:sz w:val="18"/>
              </w:rPr>
            </w:r>
            <w:r>
              <w:rPr>
                <w:rFonts w:ascii="Times New Roman" w:hAnsi="Times New Roman" w:eastAsia="宋体"/>
                <w:sz w:val="18"/>
              </w:rPr>
              <w:t>文件与网格</w:t>
            </w:r>
          </w:p>
        </w:tc>
        <w:tc>
          <w:tcPr>
            <w:tcW w:type="dxa" w:w="2948"/>
          </w:tcPr>
          <w:p>
            <w:r>
              <w:rPr>
                <w:sz w:val="18"/>
              </w:rPr>
            </w:r>
            <w:r>
              <w:rPr>
                <w:rFonts w:ascii="Times New Roman" w:hAnsi="Times New Roman" w:eastAsia="宋体"/>
                <w:sz w:val="18"/>
              </w:rPr>
              <w:t>一个标签对应一个可直接读取的</w:t>
            </w:r>
            <w:r>
              <w:rPr>
                <w:rFonts w:ascii="Consolas" w:hAnsi="Consolas" w:eastAsia="等线"/>
                <w:sz w:val="18"/>
              </w:rPr>
              <w:t>.nc</w:t>
            </w:r>
            <w:r>
              <w:rPr>
                <w:rFonts w:ascii="Times New Roman" w:hAnsi="Times New Roman" w:eastAsia="宋体"/>
                <w:sz w:val="18"/>
              </w:rPr>
              <w:t>；规则经纬度网格，默认全球覆盖并声明坐标参考</w:t>
            </w:r>
          </w:p>
        </w:tc>
        <w:tc>
          <w:tcPr>
            <w:tcW w:type="dxa" w:w="2948"/>
          </w:tcPr>
          <w:p>
            <w:r>
              <w:rPr>
                <w:sz w:val="18"/>
              </w:rPr>
            </w:r>
            <w:r>
              <w:rPr>
                <w:rFonts w:ascii="Times New Roman" w:hAnsi="Times New Roman" w:eastAsia="宋体"/>
                <w:sz w:val="18"/>
              </w:rPr>
              <w:t>NetCDF统一保存数据、坐标与自描述元数据</w:t>
            </w:r>
          </w:p>
        </w:tc>
      </w:tr>
      <w:tr>
        <w:tc>
          <w:tcPr>
            <w:tcW w:type="dxa" w:w="2948"/>
          </w:tcPr>
          <w:p>
            <w:r>
              <w:rPr>
                <w:sz w:val="18"/>
              </w:rPr>
            </w:r>
            <w:r>
              <w:rPr>
                <w:rFonts w:ascii="Times New Roman" w:hAnsi="Times New Roman" w:eastAsia="宋体"/>
                <w:sz w:val="18"/>
              </w:rPr>
              <w:t>维度</w:t>
            </w:r>
          </w:p>
        </w:tc>
        <w:tc>
          <w:tcPr>
            <w:tcW w:type="dxa" w:w="2948"/>
          </w:tcPr>
          <w:p>
            <w:r>
              <w:rPr>
                <w:sz w:val="18"/>
              </w:rPr>
            </w:r>
            <w:r>
              <w:rPr>
                <w:rFonts w:ascii="Times New Roman" w:hAnsi="Times New Roman" w:eastAsia="宋体"/>
                <w:sz w:val="18"/>
              </w:rPr>
              <w:t>二维</w:t>
            </w:r>
            <w:r>
              <w:rPr>
                <w:rFonts w:ascii="Consolas" w:hAnsi="Consolas" w:eastAsia="等线"/>
                <w:sz w:val="18"/>
              </w:rPr>
              <w:t>(lon, lat)</w:t>
            </w:r>
            <w:r>
              <w:rPr>
                <w:rFonts w:ascii="Times New Roman" w:hAnsi="Times New Roman" w:eastAsia="宋体"/>
                <w:sz w:val="18"/>
              </w:rPr>
              <w:t>；三维</w:t>
            </w:r>
            <w:r>
              <w:rPr>
                <w:rFonts w:ascii="Consolas" w:hAnsi="Consolas" w:eastAsia="等线"/>
                <w:sz w:val="18"/>
              </w:rPr>
              <w:t>(lon, lat, ind)</w:t>
            </w:r>
            <w:r>
              <w:rPr>
                <w:rFonts w:ascii="Times New Roman" w:hAnsi="Times New Roman" w:eastAsia="宋体"/>
                <w:sz w:val="18"/>
              </w:rPr>
              <w:t>；源维度按名称映射到标准顺序</w:t>
            </w:r>
          </w:p>
        </w:tc>
        <w:tc>
          <w:tcPr>
            <w:tcW w:type="dxa" w:w="2948"/>
          </w:tcPr>
          <w:p>
            <w:r>
              <w:rPr>
                <w:sz w:val="18"/>
              </w:rPr>
            </w:r>
            <w:r>
              <w:rPr>
                <w:rFonts w:ascii="Times New Roman" w:hAnsi="Times New Roman" w:eastAsia="宋体"/>
                <w:sz w:val="18"/>
              </w:rPr>
              <w:t>通用维度映射将多种源排列转换为统一结构</w:t>
            </w:r>
          </w:p>
        </w:tc>
      </w:tr>
      <w:tr>
        <w:tc>
          <w:tcPr>
            <w:tcW w:type="dxa" w:w="2948"/>
          </w:tcPr>
          <w:p>
            <w:r>
              <w:rPr>
                <w:sz w:val="18"/>
              </w:rPr>
            </w:r>
            <w:r>
              <w:rPr>
                <w:rFonts w:ascii="Times New Roman" w:hAnsi="Times New Roman" w:eastAsia="宋体"/>
                <w:sz w:val="18"/>
              </w:rPr>
              <w:t>坐标方向</w:t>
            </w:r>
          </w:p>
        </w:tc>
        <w:tc>
          <w:tcPr>
            <w:tcW w:type="dxa" w:w="2948"/>
          </w:tcPr>
          <w:p>
            <w:r>
              <w:rPr>
                <w:sz w:val="18"/>
              </w:rPr>
            </w:r>
            <w:r>
              <w:rPr>
                <w:rFonts w:ascii="Consolas" w:hAnsi="Consolas" w:eastAsia="等线"/>
                <w:sz w:val="18"/>
              </w:rPr>
              <w:t>lon</w:t>
            </w:r>
            <w:r>
              <w:rPr>
                <w:rFonts w:ascii="Times New Roman" w:hAnsi="Times New Roman" w:eastAsia="宋体"/>
                <w:sz w:val="18"/>
              </w:rPr>
              <w:t>自西向东并统一到</w:t>
            </w:r>
            <w:r>
              <w:rPr>
                <w:rFonts w:ascii="Consolas" w:hAnsi="Consolas" w:eastAsia="等线"/>
                <w:sz w:val="18"/>
              </w:rPr>
              <w:t>[-180, 180)</w:t>
            </w:r>
            <w:r>
              <w:rPr>
                <w:rFonts w:ascii="Times New Roman" w:hAnsi="Times New Roman" w:eastAsia="宋体"/>
                <w:sz w:val="18"/>
              </w:rPr>
              <w:t>；</w:t>
            </w:r>
            <w:r>
              <w:rPr>
                <w:rFonts w:ascii="Consolas" w:hAnsi="Consolas" w:eastAsia="等线"/>
                <w:sz w:val="18"/>
              </w:rPr>
              <w:t>lat</w:t>
            </w:r>
            <w:r>
              <w:rPr>
                <w:rFonts w:ascii="Times New Roman" w:hAnsi="Times New Roman" w:eastAsia="宋体"/>
                <w:sz w:val="18"/>
              </w:rPr>
              <w:t>自南向北</w:t>
            </w:r>
          </w:p>
        </w:tc>
        <w:tc>
          <w:tcPr>
            <w:tcW w:type="dxa" w:w="2948"/>
          </w:tcPr>
          <w:p>
            <w:r>
              <w:rPr>
                <w:sz w:val="18"/>
              </w:rPr>
            </w:r>
            <w:r>
              <w:rPr>
                <w:rFonts w:ascii="Times New Roman" w:hAnsi="Times New Roman" w:eastAsia="宋体"/>
                <w:sz w:val="18"/>
              </w:rPr>
              <w:t>翻转和循环平移保持数据与坐标同步</w:t>
            </w:r>
          </w:p>
        </w:tc>
      </w:tr>
      <w:tr>
        <w:tc>
          <w:tcPr>
            <w:tcW w:type="dxa" w:w="2948"/>
          </w:tcPr>
          <w:p>
            <w:r>
              <w:rPr>
                <w:sz w:val="18"/>
              </w:rPr>
            </w:r>
            <w:r>
              <w:rPr>
                <w:rFonts w:ascii="Times New Roman" w:hAnsi="Times New Roman" w:eastAsia="宋体"/>
                <w:sz w:val="18"/>
              </w:rPr>
              <w:t>数据变量</w:t>
            </w:r>
          </w:p>
        </w:tc>
        <w:tc>
          <w:tcPr>
            <w:tcW w:type="dxa" w:w="2948"/>
          </w:tcPr>
          <w:p>
            <w:r>
              <w:rPr>
                <w:sz w:val="18"/>
              </w:rPr>
            </w:r>
            <w:r>
              <w:rPr>
                <w:rFonts w:ascii="Consolas" w:hAnsi="Consolas" w:eastAsia="等线"/>
                <w:sz w:val="18"/>
              </w:rPr>
              <w:t>data</w:t>
            </w:r>
            <w:r>
              <w:rPr>
                <w:rFonts w:ascii="Times New Roman" w:hAnsi="Times New Roman" w:eastAsia="宋体"/>
                <w:sz w:val="18"/>
              </w:rPr>
              <w:t>为主变量；</w:t>
            </w:r>
            <w:r>
              <w:rPr>
                <w:rFonts w:ascii="Consolas" w:hAnsi="Consolas" w:eastAsia="等线"/>
                <w:sz w:val="18"/>
              </w:rPr>
              <w:t>std</w:t>
            </w:r>
            <w:r>
              <w:rPr>
                <w:rFonts w:ascii="Times New Roman" w:hAnsi="Times New Roman" w:eastAsia="宋体"/>
                <w:sz w:val="18"/>
              </w:rPr>
              <w:t>保存同形不确定性；输出为实际物理值</w:t>
            </w:r>
          </w:p>
        </w:tc>
        <w:tc>
          <w:tcPr>
            <w:tcW w:type="dxa" w:w="2948"/>
          </w:tcPr>
          <w:p>
            <w:r>
              <w:rPr>
                <w:sz w:val="18"/>
              </w:rPr>
            </w:r>
            <w:r>
              <w:rPr>
                <w:rFonts w:ascii="Times New Roman" w:hAnsi="Times New Roman" w:eastAsia="宋体"/>
                <w:sz w:val="18"/>
              </w:rPr>
              <w:t>统一变量命名、类型、单位和数值表达</w:t>
            </w:r>
          </w:p>
        </w:tc>
      </w:tr>
      <w:tr>
        <w:tc>
          <w:tcPr>
            <w:tcW w:type="dxa" w:w="2948"/>
          </w:tcPr>
          <w:p>
            <w:r>
              <w:rPr>
                <w:sz w:val="18"/>
              </w:rPr>
            </w:r>
            <w:r>
              <w:rPr>
                <w:rFonts w:ascii="Times New Roman" w:hAnsi="Times New Roman" w:eastAsia="宋体"/>
                <w:sz w:val="18"/>
              </w:rPr>
              <w:t>Gapfill与范围</w:t>
            </w:r>
          </w:p>
        </w:tc>
        <w:tc>
          <w:tcPr>
            <w:tcW w:type="dxa" w:w="2948"/>
          </w:tcPr>
          <w:p>
            <w:r>
              <w:rPr>
                <w:sz w:val="18"/>
              </w:rPr>
            </w:r>
            <w:r>
              <w:rPr>
                <w:rFonts w:ascii="Times New Roman" w:hAnsi="Times New Roman" w:eastAsia="宋体"/>
                <w:sz w:val="18"/>
              </w:rPr>
              <w:t>有效范围、填充值和Gapfill策略由YAML显式声明</w:t>
            </w:r>
          </w:p>
        </w:tc>
        <w:tc>
          <w:tcPr>
            <w:tcW w:type="dxa" w:w="2948"/>
          </w:tcPr>
          <w:p>
            <w:r>
              <w:rPr>
                <w:sz w:val="18"/>
              </w:rPr>
            </w:r>
            <w:r>
              <w:rPr>
                <w:rFonts w:ascii="Times New Roman" w:hAnsi="Times New Roman" w:eastAsia="宋体"/>
                <w:sz w:val="18"/>
              </w:rPr>
              <w:t>支持数值常数、</w:t>
            </w:r>
            <w:r>
              <w:rPr>
                <w:rFonts w:ascii="Consolas" w:hAnsi="Consolas" w:eastAsia="等线"/>
                <w:sz w:val="18"/>
              </w:rPr>
              <w:t>MEAN</w:t>
            </w:r>
            <w:r>
              <w:rPr>
                <w:rFonts w:ascii="Times New Roman" w:hAnsi="Times New Roman" w:eastAsia="宋体"/>
                <w:sz w:val="18"/>
              </w:rPr>
              <w:t>、</w:t>
            </w:r>
            <w:r>
              <w:rPr>
                <w:rFonts w:ascii="Consolas" w:hAnsi="Consolas" w:eastAsia="等线"/>
                <w:sz w:val="18"/>
              </w:rPr>
              <w:t>KEEP_AS_IS</w:t>
            </w:r>
            <w:r>
              <w:rPr>
                <w:rFonts w:ascii="Times New Roman" w:hAnsi="Times New Roman" w:eastAsia="宋体"/>
                <w:sz w:val="18"/>
              </w:rPr>
              <w:t>、</w:t>
            </w:r>
            <w:r>
              <w:rPr>
                <w:rFonts w:ascii="Consolas" w:hAnsi="Consolas" w:eastAsia="等线"/>
                <w:sz w:val="18"/>
              </w:rPr>
              <w:t>INT_NAN_TO_1</w:t>
            </w:r>
            <w:r>
              <w:rPr>
                <w:rFonts w:ascii="Times New Roman" w:hAnsi="Times New Roman" w:eastAsia="宋体"/>
                <w:sz w:val="18"/>
              </w:rPr>
              <w:t>、</w:t>
            </w:r>
            <w:r>
              <w:rPr>
                <w:rFonts w:ascii="Consolas" w:hAnsi="Consolas" w:eastAsia="等线"/>
                <w:sz w:val="18"/>
              </w:rPr>
              <w:t>NO_LAND_NAN</w:t>
            </w:r>
            <w:r>
              <w:rPr>
                <w:rFonts w:ascii="Times New Roman" w:hAnsi="Times New Roman" w:eastAsia="宋体"/>
                <w:sz w:val="18"/>
              </w:rPr>
              <w:t>和</w:t>
            </w:r>
            <w:r>
              <w:rPr>
                <w:rFonts w:ascii="Consolas" w:hAnsi="Consolas" w:eastAsia="等线"/>
                <w:sz w:val="18"/>
              </w:rPr>
              <w:t>NO_NAN</w:t>
            </w:r>
          </w:p>
        </w:tc>
      </w:tr>
      <w:tr>
        <w:tc>
          <w:tcPr>
            <w:tcW w:type="dxa" w:w="2948"/>
          </w:tcPr>
          <w:p>
            <w:r>
              <w:rPr>
                <w:sz w:val="18"/>
              </w:rPr>
            </w:r>
            <w:r>
              <w:rPr>
                <w:rFonts w:ascii="Times New Roman" w:hAnsi="Times New Roman" w:eastAsia="宋体"/>
                <w:sz w:val="18"/>
              </w:rPr>
              <w:t>变量元数据</w:t>
            </w:r>
          </w:p>
        </w:tc>
        <w:tc>
          <w:tcPr>
            <w:tcW w:type="dxa" w:w="2948"/>
          </w:tcPr>
          <w:p>
            <w:r>
              <w:rPr>
                <w:sz w:val="18"/>
              </w:rPr>
            </w:r>
            <w:r>
              <w:rPr>
                <w:rFonts w:ascii="Consolas" w:hAnsi="Consolas" w:eastAsia="等线"/>
                <w:sz w:val="18"/>
              </w:rPr>
              <w:t>data/std</w:t>
            </w:r>
            <w:r>
              <w:rPr>
                <w:rFonts w:ascii="Times New Roman" w:hAnsi="Times New Roman" w:eastAsia="宋体"/>
                <w:sz w:val="18"/>
              </w:rPr>
              <w:t>记录可读说明、单位及处理变更条目</w:t>
            </w:r>
          </w:p>
        </w:tc>
        <w:tc>
          <w:tcPr>
            <w:tcW w:type="dxa" w:w="2948"/>
          </w:tcPr>
          <w:p>
            <w:r>
              <w:rPr>
                <w:sz w:val="18"/>
              </w:rPr>
            </w:r>
            <w:r>
              <w:rPr>
                <w:rFonts w:ascii="Times New Roman" w:hAnsi="Times New Roman" w:eastAsia="宋体"/>
                <w:sz w:val="18"/>
              </w:rPr>
              <w:t>输出文件保留变量语义与主要转换过程</w:t>
            </w:r>
          </w:p>
        </w:tc>
      </w:tr>
      <w:tr>
        <w:tc>
          <w:tcPr>
            <w:tcW w:type="dxa" w:w="2948"/>
          </w:tcPr>
          <w:p>
            <w:r>
              <w:rPr>
                <w:sz w:val="18"/>
              </w:rPr>
            </w:r>
            <w:r>
              <w:rPr>
                <w:rFonts w:ascii="Times New Roman" w:hAnsi="Times New Roman" w:eastAsia="宋体"/>
                <w:sz w:val="18"/>
              </w:rPr>
              <w:t>处理记录</w:t>
            </w:r>
          </w:p>
        </w:tc>
        <w:tc>
          <w:tcPr>
            <w:tcW w:type="dxa" w:w="2948"/>
          </w:tcPr>
          <w:p>
            <w:r>
              <w:rPr>
                <w:sz w:val="18"/>
              </w:rPr>
            </w:r>
            <w:r>
              <w:rPr>
                <w:rFonts w:ascii="Times New Roman" w:hAnsi="Times New Roman" w:eastAsia="宋体"/>
                <w:sz w:val="18"/>
              </w:rPr>
              <w:t>YAML声明维度、坐标、数值与Gapfill规则；NetCDF属性写入逐项变更记录</w:t>
            </w:r>
          </w:p>
        </w:tc>
        <w:tc>
          <w:tcPr>
            <w:tcW w:type="dxa" w:w="2948"/>
          </w:tcPr>
          <w:p>
            <w:r>
              <w:rPr>
                <w:sz w:val="18"/>
              </w:rPr>
            </w:r>
            <w:r>
              <w:rPr>
                <w:rFonts w:ascii="Times New Roman" w:hAnsi="Times New Roman" w:eastAsia="宋体"/>
                <w:sz w:val="18"/>
              </w:rPr>
              <w:t>配置意图与产品处理历史相互对应</w:t>
            </w:r>
          </w:p>
        </w:tc>
      </w:tr>
      <w:tr>
        <w:tc>
          <w:tcPr>
            <w:tcW w:type="dxa" w:w="2948"/>
          </w:tcPr>
          <w:p>
            <w:r>
              <w:rPr>
                <w:sz w:val="18"/>
              </w:rPr>
            </w:r>
            <w:r>
              <w:rPr>
                <w:rFonts w:ascii="Times New Roman" w:hAnsi="Times New Roman" w:eastAsia="宋体"/>
                <w:sz w:val="18"/>
              </w:rPr>
              <w:t>处理复现</w:t>
            </w:r>
          </w:p>
        </w:tc>
        <w:tc>
          <w:tcPr>
            <w:tcW w:type="dxa" w:w="2948"/>
          </w:tcPr>
          <w:p>
            <w:r>
              <w:rPr>
                <w:sz w:val="18"/>
              </w:rPr>
            </w:r>
            <w:r>
              <w:rPr>
                <w:rFonts w:ascii="Consolas" w:hAnsi="Consolas" w:eastAsia="等线"/>
                <w:sz w:val="18"/>
              </w:rPr>
              <w:t>SCHEMA_VERSION</w:t>
            </w:r>
            <w:r>
              <w:rPr>
                <w:rFonts w:ascii="Times New Roman" w:hAnsi="Times New Roman" w:eastAsia="宋体"/>
                <w:sz w:val="18"/>
              </w:rPr>
              <w:t>、完整YAML、固定输入和版本化项目环境共同归档</w:t>
            </w:r>
          </w:p>
        </w:tc>
        <w:tc>
          <w:tcPr>
            <w:tcW w:type="dxa" w:w="2948"/>
          </w:tcPr>
          <w:p>
            <w:r>
              <w:rPr>
                <w:sz w:val="18"/>
              </w:rPr>
            </w:r>
            <w:r>
              <w:rPr>
                <w:rFonts w:ascii="Times New Roman" w:hAnsi="Times New Roman" w:eastAsia="宋体"/>
                <w:sz w:val="18"/>
              </w:rPr>
              <w:t>配置、输入与代码版本共同重建标准产品</w:t>
            </w:r>
          </w:p>
        </w:tc>
      </w:tr>
      <w:tr>
        <w:tc>
          <w:tcPr>
            <w:tcW w:type="dxa" w:w="2948"/>
          </w:tcPr>
          <w:p>
            <w:r>
              <w:rPr>
                <w:sz w:val="18"/>
              </w:rPr>
            </w:r>
            <w:r>
              <w:rPr>
                <w:rFonts w:ascii="Times New Roman" w:hAnsi="Times New Roman" w:eastAsia="宋体"/>
                <w:sz w:val="18"/>
              </w:rPr>
              <w:t>标签与版本</w:t>
            </w:r>
          </w:p>
        </w:tc>
        <w:tc>
          <w:tcPr>
            <w:tcW w:type="dxa" w:w="2948"/>
          </w:tcPr>
          <w:p>
            <w:r>
              <w:rPr>
                <w:sz w:val="18"/>
              </w:rPr>
            </w:r>
            <w:r>
              <w:rPr>
                <w:rFonts w:ascii="Times New Roman" w:hAnsi="Times New Roman" w:eastAsia="宋体"/>
                <w:sz w:val="18"/>
              </w:rPr>
              <w:t>标签表达类别、空间/时间分辨率、年份、版本和可选修订号</w:t>
            </w:r>
          </w:p>
        </w:tc>
        <w:tc>
          <w:tcPr>
            <w:tcW w:type="dxa" w:w="2948"/>
          </w:tcPr>
          <w:p>
            <w:r>
              <w:rPr>
                <w:sz w:val="18"/>
              </w:rPr>
            </w:r>
            <w:r>
              <w:rPr>
                <w:rFonts w:ascii="Times New Roman" w:hAnsi="Times New Roman" w:eastAsia="宋体"/>
                <w:sz w:val="18"/>
              </w:rPr>
              <w:t>标签与文件名共同形成稳定产品标识</w:t>
            </w:r>
          </w:p>
        </w:tc>
      </w:tr>
      <w:tr>
        <w:tc>
          <w:tcPr>
            <w:tcW w:type="dxa" w:w="2948"/>
          </w:tcPr>
          <w:p>
            <w:r>
              <w:rPr>
                <w:sz w:val="18"/>
              </w:rPr>
            </w:r>
            <w:r>
              <w:rPr>
                <w:rFonts w:ascii="Times New Roman" w:hAnsi="Times New Roman" w:eastAsia="宋体"/>
                <w:sz w:val="18"/>
              </w:rPr>
              <w:t>分发完整性</w:t>
            </w:r>
          </w:p>
        </w:tc>
        <w:tc>
          <w:tcPr>
            <w:tcW w:type="dxa" w:w="2948"/>
          </w:tcPr>
          <w:p>
            <w:r>
              <w:rPr>
                <w:sz w:val="18"/>
              </w:rPr>
            </w:r>
            <w:r>
              <w:rPr>
                <w:rFonts w:ascii="Times New Roman" w:hAnsi="Times New Roman" w:eastAsia="宋体"/>
                <w:sz w:val="18"/>
              </w:rPr>
              <w:t>新登记或严格完整性条目记录文件字节数和SHA-256；同一标签的受控镜像指向相同内容</w:t>
            </w:r>
          </w:p>
        </w:tc>
        <w:tc>
          <w:tcPr>
            <w:tcW w:type="dxa" w:w="2948"/>
          </w:tcPr>
          <w:p>
            <w:r>
              <w:rPr>
                <w:sz w:val="18"/>
              </w:rPr>
            </w:r>
            <w:r>
              <w:rPr>
                <w:rFonts w:ascii="Times New Roman" w:hAnsi="Times New Roman" w:eastAsia="宋体"/>
                <w:sz w:val="18"/>
              </w:rPr>
              <w:t>对带完整性元数据的条目下载后核验并以事务方式进入正式目录；历史条目由兼容模式承接</w:t>
            </w:r>
          </w:p>
        </w:tc>
      </w:tr>
    </w:tbl>
    <w:p>
      <w:pPr>
        <w:ind w:firstLine="0"/>
      </w:pPr>
      <w:r>
        <w:rPr>
          <w:rFonts w:ascii="Times New Roman" w:hAnsi="Times New Roman" w:eastAsia="宋体"/>
          <w:b/>
        </w:rPr>
        <w:t>Table 2 Standardized NetCDF data and metadata requirements of GriddingMachine.</w:t>
      </w:r>
      <w:r>
        <w:rPr>
          <w:rFonts w:ascii="Times New Roman" w:hAnsi="Times New Roman" w:eastAsia="宋体"/>
        </w:rPr>
        <w:t xml:space="preserve"> The specification connects grid structure, gap filling, metadata, provenance, versioning, and distribution integrity within a unified production contract.</w:t>
      </w:r>
    </w:p>
    <w:p>
      <w:r>
        <w:rPr>
          <w:rFonts w:ascii="Times New Roman" w:hAnsi="Times New Roman" w:eastAsia="宋体"/>
        </w:rPr>
        <w:t>缺失值处理由YAML中的</w:t>
      </w:r>
      <w:r>
        <w:rPr>
          <w:rFonts w:ascii="Consolas" w:hAnsi="Consolas" w:eastAsia="等线"/>
        </w:rPr>
        <w:t>GAPFILL</w:t>
      </w:r>
      <w:r>
        <w:rPr>
          <w:rFonts w:ascii="Times New Roman" w:hAnsi="Times New Roman" w:eastAsia="宋体"/>
        </w:rPr>
        <w:t>字段驱动，并依据产品物理含义选择相应策略。数值常数和</w:t>
      </w:r>
      <w:r>
        <w:rPr>
          <w:rFonts w:ascii="Consolas" w:hAnsi="Consolas" w:eastAsia="等线"/>
        </w:rPr>
        <w:t>MEAN</w:t>
      </w:r>
      <w:r>
        <w:rPr>
          <w:rFonts w:ascii="Times New Roman" w:hAnsi="Times New Roman" w:eastAsia="宋体"/>
        </w:rPr>
        <w:t>分别以给定值或分层</w:t>
      </w:r>
      <w:r>
        <w:rPr>
          <w:rFonts w:ascii="Consolas" w:hAnsi="Consolas" w:eastAsia="等线"/>
        </w:rPr>
        <w:t>nanmean</w:t>
      </w:r>
      <w:r>
        <w:rPr>
          <w:rFonts w:ascii="Times New Roman" w:hAnsi="Times New Roman" w:eastAsia="宋体"/>
        </w:rPr>
        <w:t>填补陆地区域缺失值；</w:t>
      </w:r>
      <w:r>
        <w:rPr>
          <w:rFonts w:ascii="Consolas" w:hAnsi="Consolas" w:eastAsia="等线"/>
        </w:rPr>
        <w:t>KEEP_AS_IS</w:t>
      </w:r>
      <w:r>
        <w:rPr>
          <w:rFonts w:ascii="Times New Roman" w:hAnsi="Times New Roman" w:eastAsia="宋体"/>
        </w:rPr>
        <w:t>保持原始数组；</w:t>
      </w:r>
      <w:r>
        <w:rPr>
          <w:rFonts w:ascii="Consolas" w:hAnsi="Consolas" w:eastAsia="等线"/>
        </w:rPr>
        <w:t>INT_NAN_TO_1</w:t>
      </w:r>
      <w:r>
        <w:rPr>
          <w:rFonts w:ascii="Times New Roman" w:hAnsi="Times New Roman" w:eastAsia="宋体"/>
        </w:rPr>
        <w:t>将缺失值补为1并对数组整数化；</w:t>
      </w:r>
      <w:r>
        <w:rPr>
          <w:rFonts w:ascii="Consolas" w:hAnsi="Consolas" w:eastAsia="等线"/>
        </w:rPr>
        <w:t>NO_LAND_NAN</w:t>
      </w:r>
      <w:r>
        <w:rPr>
          <w:rFonts w:ascii="Times New Roman" w:hAnsi="Times New Roman" w:eastAsia="宋体"/>
        </w:rPr>
        <w:t>和</w:t>
      </w:r>
      <w:r>
        <w:rPr>
          <w:rFonts w:ascii="Consolas" w:hAnsi="Consolas" w:eastAsia="等线"/>
        </w:rPr>
        <w:t>NO_NAN</w:t>
      </w:r>
      <w:r>
        <w:rPr>
          <w:rFonts w:ascii="Times New Roman" w:hAnsi="Times New Roman" w:eastAsia="宋体"/>
        </w:rPr>
        <w:t>分别检查陆地区域与全域的数据完整性。Gapfill由此统一连接有效范围过滤、陆海掩膜、缺失值处置和输出精度，为不同地球系统数据产品提供可配置的数据完善方法。ELEV采用常数0填补策略，为统一读取和模型调用提供连续地形场。</w:t>
      </w:r>
    </w:p>
    <w:p>
      <w:r>
        <w:rPr>
          <w:rFonts w:ascii="Times New Roman" w:hAnsi="Times New Roman" w:eastAsia="宋体"/>
        </w:rPr>
        <w:t>CF约定利用坐标变量和属性表达维度语义[2]。GriddingMachine进一步固定输出维度顺序，以降低下游接口复杂度。新版通过YAML的</w:t>
      </w:r>
      <w:r>
        <w:rPr>
          <w:rFonts w:ascii="Consolas" w:hAnsi="Consolas" w:eastAsia="等线"/>
        </w:rPr>
        <w:t>DIMENSIONS</w:t>
      </w:r>
      <w:r>
        <w:rPr>
          <w:rFonts w:ascii="Times New Roman" w:hAnsi="Times New Roman" w:eastAsia="宋体"/>
        </w:rPr>
        <w:t>显式记录源变量各维度语义，维度标准化过程将</w:t>
      </w:r>
      <w:r>
        <w:rPr>
          <w:rFonts w:ascii="Consolas" w:hAnsi="Consolas" w:eastAsia="等线"/>
        </w:rPr>
        <w:t>(lat, lon)</w:t>
      </w:r>
      <w:r>
        <w:rPr>
          <w:rFonts w:ascii="Times New Roman" w:hAnsi="Times New Roman" w:eastAsia="宋体"/>
        </w:rPr>
        <w:t>、</w:t>
      </w:r>
      <w:r>
        <w:rPr>
          <w:rFonts w:ascii="Consolas" w:hAnsi="Consolas" w:eastAsia="等线"/>
        </w:rPr>
        <w:t>(ind, lat, lon)</w:t>
      </w:r>
      <w:r>
        <w:rPr>
          <w:rFonts w:ascii="Times New Roman" w:hAnsi="Times New Roman" w:eastAsia="宋体"/>
        </w:rPr>
        <w:t>等排列重排为统一输出；经纬度翻转与循环平移同步作用于坐标和数据值。规则经纬网数据进入通用标准化流程，非规则网格、区域投影和复杂坐标数据由数据源专用预处理模块完成适配。</w:t>
      </w:r>
    </w:p>
    <w:p>
      <w:pPr>
        <w:pStyle w:val="Heading3"/>
      </w:pPr>
      <w:r>
        <w:rPr>
          <w:rFonts w:ascii="Times New Roman" w:hAnsi="Times New Roman" w:eastAsia="宋体"/>
        </w:rPr>
        <w:t>2.2.2 YAML配置与转换示例</w:t>
      </w:r>
    </w:p>
    <w:p>
      <w:r>
        <w:rPr>
          <w:rFonts w:ascii="Times New Roman" w:hAnsi="Times New Roman" w:eastAsia="宋体"/>
        </w:rPr>
        <w:t>YAML将数据源差异与通用处理代码分离。配置以</w:t>
      </w:r>
      <w:r>
        <w:rPr>
          <w:rFonts w:ascii="Consolas" w:hAnsi="Consolas" w:eastAsia="等线"/>
        </w:rPr>
        <w:t>FILE</w:t>
      </w:r>
      <w:r>
        <w:rPr>
          <w:rFonts w:ascii="Times New Roman" w:hAnsi="Times New Roman" w:eastAsia="宋体"/>
        </w:rPr>
        <w:t>、</w:t>
      </w:r>
      <w:r>
        <w:rPr>
          <w:rFonts w:ascii="Consolas" w:hAnsi="Consolas" w:eastAsia="等线"/>
        </w:rPr>
        <w:t>FOLDER</w:t>
      </w:r>
      <w:r>
        <w:rPr>
          <w:rFonts w:ascii="Times New Roman" w:hAnsi="Times New Roman" w:eastAsia="宋体"/>
        </w:rPr>
        <w:t>、</w:t>
      </w:r>
      <w:r>
        <w:rPr>
          <w:rFonts w:ascii="Consolas" w:hAnsi="Consolas" w:eastAsia="等线"/>
        </w:rPr>
        <w:t>DATA</w:t>
      </w:r>
      <w:r>
        <w:rPr>
          <w:rFonts w:ascii="Times New Roman" w:hAnsi="Times New Roman" w:eastAsia="宋体"/>
        </w:rPr>
        <w:t>（及可选</w:t>
      </w:r>
      <w:r>
        <w:rPr>
          <w:rFonts w:ascii="Consolas" w:hAnsi="Consolas" w:eastAsia="等线"/>
        </w:rPr>
        <w:t>STD</w:t>
      </w:r>
      <w:r>
        <w:rPr>
          <w:rFonts w:ascii="Times New Roman" w:hAnsi="Times New Roman" w:eastAsia="宋体"/>
        </w:rPr>
        <w:t>）和</w:t>
      </w:r>
      <w:r>
        <w:rPr>
          <w:rFonts w:ascii="Consolas" w:hAnsi="Consolas" w:eastAsia="等线"/>
        </w:rPr>
        <w:t>GRIDDINGMACHINE</w:t>
      </w:r>
      <w:r>
        <w:rPr>
          <w:rFonts w:ascii="Times New Roman" w:hAnsi="Times New Roman" w:eastAsia="宋体"/>
        </w:rPr>
        <w:t>组织文件组合、输入输出位置、变量语义与转换规则以及稳定标签，并通过</w:t>
      </w:r>
      <w:r>
        <w:rPr>
          <w:rFonts w:ascii="Consolas" w:hAnsi="Consolas" w:eastAsia="等线"/>
        </w:rPr>
        <w:t>SCHEMA_VERSION</w:t>
      </w:r>
      <w:r>
        <w:rPr>
          <w:rFonts w:ascii="Times New Roman" w:hAnsi="Times New Roman" w:eastAsia="宋体"/>
        </w:rPr>
        <w:t>约束字段类型、必需项、默认值、互斥关系和数组长度一致性。</w:t>
      </w:r>
      <w:r>
        <w:rPr>
          <w:rFonts w:ascii="Consolas" w:hAnsi="Consolas" w:eastAsia="等线"/>
        </w:rPr>
        <w:t>DIMENSIONS</w:t>
      </w:r>
      <w:r>
        <w:rPr>
          <w:rFonts w:ascii="Times New Roman" w:hAnsi="Times New Roman" w:eastAsia="宋体"/>
        </w:rPr>
        <w:t>显式记录源变量的维度语义，</w:t>
      </w:r>
      <w:r>
        <w:rPr>
          <w:rFonts w:ascii="Consolas" w:hAnsi="Consolas" w:eastAsia="等线"/>
        </w:rPr>
        <w:t>GAPFILL</w:t>
      </w:r>
      <w:r>
        <w:rPr>
          <w:rFonts w:ascii="Times New Roman" w:hAnsi="Times New Roman" w:eastAsia="宋体"/>
        </w:rPr>
        <w:t>、坐标方向、数值范围和缩放规则在数据读取前完成解析；配置构建器与生产流水线调用同一规范。</w:t>
      </w:r>
    </w:p>
    <w:p>
      <w:r>
        <w:rPr>
          <w:rFonts w:ascii="Times New Roman" w:hAnsi="Times New Roman" w:eastAsia="宋体"/>
        </w:rPr>
        <w:t>受控二维示例采用</w:t>
      </w:r>
      <w:r>
        <w:rPr>
          <w:rFonts w:ascii="Consolas" w:hAnsi="Consolas" w:eastAsia="等线"/>
        </w:rPr>
        <w:t>(lat, lon)</w:t>
      </w:r>
      <w:r>
        <w:rPr>
          <w:rFonts w:ascii="Times New Roman" w:hAnsi="Times New Roman" w:eastAsia="宋体"/>
        </w:rPr>
        <w:t>源维度排列，纬度按北向南排列，经度范围为</w:t>
      </w:r>
      <w:r>
        <w:rPr>
          <w:rFonts w:ascii="Consolas" w:hAnsi="Consolas" w:eastAsia="等线"/>
        </w:rPr>
        <w:t>0°～360°</w:t>
      </w:r>
      <w:r>
        <w:rPr>
          <w:rFonts w:ascii="Times New Roman" w:hAnsi="Times New Roman" w:eastAsia="宋体"/>
        </w:rPr>
        <w:t>。配置文件显式声明源维度语义、纬度方向转换、经度范围转换和线性数值变换，生产流水线据此生成标准</w:t>
      </w:r>
      <w:r>
        <w:rPr>
          <w:rFonts w:ascii="Consolas" w:hAnsi="Consolas" w:eastAsia="等线"/>
        </w:rPr>
        <w:t>(lon, lat)</w:t>
      </w:r>
      <w:r>
        <w:rPr>
          <w:rFonts w:ascii="Times New Roman" w:hAnsi="Times New Roman" w:eastAsia="宋体"/>
        </w:rPr>
        <w:t>产品。输出坐标和数值与独立构造的参考数组逐点一致，用于验证配置声明能够被正确映射为标准化处理过程。完整YAML配置、字段说明、执行命令和目录结构列于补充材料S3及版本化贡献指南。</w:t>
      </w:r>
    </w:p>
    <w:p>
      <w:r>
        <w:rPr>
          <w:rFonts w:ascii="Times New Roman" w:hAnsi="Times New Roman" w:eastAsia="宋体"/>
        </w:rPr>
        <w:t>框架同时提供程序化和本地交互式配置生成方式。二者输出均经同一配置规范校验后进入</w:t>
      </w:r>
      <w:r>
        <w:rPr>
          <w:rFonts w:ascii="Consolas" w:hAnsi="Consolas" w:eastAsia="等线"/>
        </w:rPr>
        <w:t>process_dataset!</w:t>
      </w:r>
      <w:r>
        <w:rPr>
          <w:rFonts w:ascii="Times New Roman" w:hAnsi="Times New Roman" w:eastAsia="宋体"/>
        </w:rPr>
        <w:t>，使数据贡献入口与生产流水线共享一致的字段语义。</w:t>
      </w:r>
    </w:p>
    <w:p>
      <w:pPr>
        <w:pStyle w:val="Heading3"/>
      </w:pPr>
      <w:r>
        <w:rPr>
          <w:rFonts w:ascii="Times New Roman" w:hAnsi="Times New Roman" w:eastAsia="宋体"/>
        </w:rPr>
        <w:t>2.2.3 生产流程与质量控制</w:t>
      </w:r>
    </w:p>
    <w:p>
      <w:r>
        <w:rPr>
          <w:rFonts w:ascii="Times New Roman" w:hAnsi="Times New Roman" w:eastAsia="宋体"/>
        </w:rPr>
        <w:t>标准产品生产引擎首先根据</w:t>
      </w:r>
      <w:r>
        <w:rPr>
          <w:rFonts w:ascii="Consolas" w:hAnsi="Consolas" w:eastAsia="等线"/>
        </w:rPr>
        <w:t>FILE</w:t>
      </w:r>
      <w:r>
        <w:rPr>
          <w:rFonts w:ascii="Times New Roman" w:hAnsi="Times New Roman" w:eastAsia="宋体"/>
        </w:rPr>
        <w:t>和</w:t>
      </w:r>
      <w:r>
        <w:rPr>
          <w:rFonts w:ascii="Consolas" w:hAnsi="Consolas" w:eastAsia="等线"/>
        </w:rPr>
        <w:t>FOLDER</w:t>
      </w:r>
      <w:r>
        <w:rPr>
          <w:rFonts w:ascii="Times New Roman" w:hAnsi="Times New Roman" w:eastAsia="宋体"/>
        </w:rPr>
        <w:t>定位输入与输出文件，再读取</w:t>
      </w:r>
      <w:r>
        <w:rPr>
          <w:rFonts w:ascii="Consolas" w:hAnsi="Consolas" w:eastAsia="等线"/>
        </w:rPr>
        <w:t>DATA</w:t>
      </w:r>
      <w:r>
        <w:rPr>
          <w:rFonts w:ascii="Times New Roman" w:hAnsi="Times New Roman" w:eastAsia="宋体"/>
        </w:rPr>
        <w:t>和可选</w:t>
      </w:r>
      <w:r>
        <w:rPr>
          <w:rFonts w:ascii="Consolas" w:hAnsi="Consolas" w:eastAsia="等线"/>
        </w:rPr>
        <w:t>STD</w:t>
      </w:r>
      <w:r>
        <w:rPr>
          <w:rFonts w:ascii="Times New Roman" w:hAnsi="Times New Roman" w:eastAsia="宋体"/>
        </w:rPr>
        <w:t>指定的源变量。流水线将数据转换为</w:t>
      </w:r>
      <w:r>
        <w:rPr>
          <w:rFonts w:ascii="Consolas" w:hAnsi="Consolas" w:eastAsia="等线"/>
        </w:rPr>
        <w:t>Float32</w:t>
      </w:r>
      <w:r>
        <w:rPr>
          <w:rFonts w:ascii="Times New Roman" w:hAnsi="Times New Roman" w:eastAsia="宋体"/>
        </w:rPr>
        <w:t>，依次执行纬度翻转、经度翻转或从</w:t>
      </w:r>
      <w:r>
        <w:rPr>
          <w:rFonts w:ascii="Consolas" w:hAnsi="Consolas" w:eastAsia="等线"/>
        </w:rPr>
        <w:t>0°～360°</w:t>
      </w:r>
      <w:r>
        <w:rPr>
          <w:rFonts w:ascii="Times New Roman" w:hAnsi="Times New Roman" w:eastAsia="宋体"/>
        </w:rPr>
        <w:t>到</w:t>
      </w:r>
      <w:r>
        <w:rPr>
          <w:rFonts w:ascii="Consolas" w:hAnsi="Consolas" w:eastAsia="等线"/>
        </w:rPr>
        <w:t>−180°～180°</w:t>
      </w:r>
      <w:r>
        <w:rPr>
          <w:rFonts w:ascii="Times New Roman" w:hAnsi="Times New Roman" w:eastAsia="宋体"/>
        </w:rPr>
        <w:t>的循环平移、线性缩放、有效范围过滤和缺失值处理。各项转换追加为NetCDF变量属性中的变更记录；研究材料进一步将完整YAML、固定输入和版本化项目环境与输出产品共同归档。</w:t>
      </w:r>
    </w:p>
    <w:p>
      <w:r>
        <w:rPr>
          <w:rFonts w:ascii="Times New Roman" w:hAnsi="Times New Roman" w:eastAsia="宋体"/>
        </w:rPr>
        <w:t>生产流程在保存前检查维度、坐标、变量、数值范围和Gapfill结果，空间方向图进一步呈现坐标语义。质量控制完成后生成</w:t>
      </w:r>
      <w:r>
        <w:rPr>
          <w:rFonts w:ascii="Consolas" w:hAnsi="Consolas" w:eastAsia="等线"/>
        </w:rPr>
        <w:t>data</w:t>
      </w:r>
      <w:r>
        <w:rPr>
          <w:rFonts w:ascii="Times New Roman" w:hAnsi="Times New Roman" w:eastAsia="宋体"/>
        </w:rPr>
        <w:t>，存在不确定性时追加同形的</w:t>
      </w:r>
      <w:r>
        <w:rPr>
          <w:rFonts w:ascii="Consolas" w:hAnsi="Consolas" w:eastAsia="等线"/>
        </w:rPr>
        <w:t>std</w:t>
      </w:r>
      <w:r>
        <w:rPr>
          <w:rFonts w:ascii="Times New Roman" w:hAnsi="Times New Roman" w:eastAsia="宋体"/>
        </w:rPr>
        <w:t>，并按</w:t>
      </w:r>
      <w:r>
        <w:rPr>
          <w:rFonts w:ascii="Consolas" w:hAnsi="Consolas" w:eastAsia="等线"/>
        </w:rPr>
        <w:t>TAG_(PREFIX_)NX_MT_(YYYY_)VV(_REVISION)</w:t>
      </w:r>
      <w:r>
        <w:rPr>
          <w:rFonts w:ascii="Times New Roman" w:hAnsi="Times New Roman" w:eastAsia="宋体"/>
        </w:rPr>
        <w:t>生成唯一文件名。文件级变更记录与发布级配置、输入和软件环境共同构成双层复现链，连接产品内容与其生成上下文。</w:t>
      </w:r>
    </w:p>
    <w:p>
      <w:r>
        <w:rPr>
          <w:rFonts w:ascii="Times New Roman" w:hAnsi="Times New Roman" w:eastAsia="宋体"/>
        </w:rPr>
        <w:t>空间方向检查依据变量维度生成带经纬度坐标轴的审核图，人工确认与自动结构、坐标和逐点数值检查相互补充；</w:t>
      </w:r>
      <w:r>
        <w:rPr>
          <w:rFonts w:ascii="Consolas" w:hAnsi="Consolas" w:eastAsia="等线"/>
        </w:rPr>
        <w:t>VERIFY_ONCE</w:t>
      </w:r>
      <w:r>
        <w:rPr>
          <w:rFonts w:ascii="Times New Roman" w:hAnsi="Times New Roman" w:eastAsia="宋体"/>
        </w:rPr>
        <w:t>用于记录同一配置组合的首次方向确认。成品质量检查进一步核对</w:t>
      </w:r>
      <w:r>
        <w:rPr>
          <w:rFonts w:ascii="Consolas" w:hAnsi="Consolas" w:eastAsia="等线"/>
        </w:rPr>
        <w:t>lon</w:t>
      </w:r>
      <w:r>
        <w:rPr>
          <w:rFonts w:ascii="Times New Roman" w:hAnsi="Times New Roman" w:eastAsia="宋体"/>
        </w:rPr>
        <w:t>、</w:t>
      </w:r>
      <w:r>
        <w:rPr>
          <w:rFonts w:ascii="Consolas" w:hAnsi="Consolas" w:eastAsia="等线"/>
        </w:rPr>
        <w:t>lat</w:t>
      </w:r>
      <w:r>
        <w:rPr>
          <w:rFonts w:ascii="Times New Roman" w:hAnsi="Times New Roman" w:eastAsia="宋体"/>
        </w:rPr>
        <w:t>及可选</w:t>
      </w:r>
      <w:r>
        <w:rPr>
          <w:rFonts w:ascii="Consolas" w:hAnsi="Consolas" w:eastAsia="等线"/>
        </w:rPr>
        <w:t>ind</w:t>
      </w:r>
      <w:r>
        <w:rPr>
          <w:rFonts w:ascii="Times New Roman" w:hAnsi="Times New Roman" w:eastAsia="宋体"/>
        </w:rPr>
        <w:t>维度、主变量</w:t>
      </w:r>
      <w:r>
        <w:rPr>
          <w:rFonts w:ascii="Consolas" w:hAnsi="Consolas" w:eastAsia="等线"/>
        </w:rPr>
        <w:t>data</w:t>
      </w:r>
      <w:r>
        <w:rPr>
          <w:rFonts w:ascii="Times New Roman" w:hAnsi="Times New Roman" w:eastAsia="宋体"/>
        </w:rPr>
        <w:t>、数值范围和缺失值状态。对于标准支持分辨率，陆地区域完整性通过重采样</w:t>
      </w:r>
      <w:r>
        <w:rPr>
          <w:rFonts w:ascii="Consolas" w:hAnsi="Consolas" w:eastAsia="等线"/>
        </w:rPr>
        <w:t>LM_4X_1Y_V1</w:t>
      </w:r>
      <w:r>
        <w:rPr>
          <w:rFonts w:ascii="Times New Roman" w:hAnsi="Times New Roman" w:eastAsia="宋体"/>
        </w:rPr>
        <w:t>掩膜检查；其他分辨率由专用规则承接。由此，生产阶段的变换记录、自动判据和必要的空间方向审核共同构成标准产品质量控制。</w:t>
      </w:r>
    </w:p>
    <w:p>
      <w:pPr>
        <w:pStyle w:val="Heading2"/>
      </w:pPr>
      <w:r>
        <w:rPr>
          <w:rFonts w:ascii="Times New Roman" w:hAnsi="Times New Roman" w:eastAsia="宋体"/>
        </w:rPr>
        <w:t>2.3 独立数据目录与事务式多镜像分发</w:t>
      </w:r>
    </w:p>
    <w:p>
      <w:r>
        <w:rPr>
          <w:rFonts w:ascii="Times New Roman" w:hAnsi="Times New Roman" w:eastAsia="宋体"/>
        </w:rPr>
        <w:t>标准产品标签由类别、可选前缀、空间分辨率、时间分辨率、可选年份、数据版本和可选修订号构成，基本形式为</w:t>
      </w:r>
      <w:r>
        <w:rPr>
          <w:rFonts w:ascii="Consolas" w:hAnsi="Consolas" w:eastAsia="等线"/>
        </w:rPr>
        <w:t>TAG_(PREFIX_)NX_MT_(YYYY_)VV(_REVISION)</w:t>
      </w:r>
      <w:r>
        <w:rPr>
          <w:rFonts w:ascii="Times New Roman" w:hAnsi="Times New Roman" w:eastAsia="宋体"/>
        </w:rPr>
        <w:t>。数据发布与目录登记相互解耦：维护者可将标准NetCDF发布到机构FTP、HTTP(S)或公共存储，目录生成器根据本地权威文件和公开地址生成逻辑路径、去重镜像列表，并对新登记或需要严格完整性管理的条目计算文件字节数和SHA-256。目录通过临时文件写入和替换，使产品列表、镜像位置和完整性元数据能够独立于访问软件版本更新。</w:t>
      </w:r>
    </w:p>
    <w:p>
      <w:r>
        <w:rPr>
          <w:rFonts w:ascii="Consolas" w:hAnsi="Consolas" w:eastAsia="等线"/>
        </w:rPr>
        <w:t>GriddingMachine.jl</w:t>
      </w:r>
      <w:r>
        <w:rPr>
          <w:rFonts w:ascii="Times New Roman" w:hAnsi="Times New Roman" w:eastAsia="宋体"/>
        </w:rPr>
        <w:t>的Collector显式配置数据根目录、目录来源和本地目录文件。远端目录先下载至临时路径，经根节点和字段规范校验后再替换正式目录，并保留上一有效版本。目录条目以标签为键，核心字段包括安全相对路径</w:t>
      </w:r>
      <w:r>
        <w:rPr>
          <w:rFonts w:ascii="Consolas" w:hAnsi="Consolas" w:eastAsia="等线"/>
        </w:rPr>
        <w:t>PATH</w:t>
      </w:r>
      <w:r>
        <w:rPr>
          <w:rFonts w:ascii="Times New Roman" w:hAnsi="Times New Roman" w:eastAsia="宋体"/>
        </w:rPr>
        <w:t>、一个或多个</w:t>
      </w:r>
      <w:r>
        <w:rPr>
          <w:rFonts w:ascii="Consolas" w:hAnsi="Consolas" w:eastAsia="等线"/>
        </w:rPr>
        <w:t>URL</w:t>
      </w:r>
      <w:r>
        <w:rPr>
          <w:rFonts w:ascii="Times New Roman" w:hAnsi="Times New Roman" w:eastAsia="宋体"/>
        </w:rPr>
        <w:t>以及可选的</w:t>
      </w:r>
      <w:r>
        <w:rPr>
          <w:rFonts w:ascii="Consolas" w:hAnsi="Consolas" w:eastAsia="等线"/>
        </w:rPr>
        <w:t>SIZE</w:t>
      </w:r>
      <w:r>
        <w:rPr>
          <w:rFonts w:ascii="Times New Roman" w:hAnsi="Times New Roman" w:eastAsia="宋体"/>
        </w:rPr>
        <w:t>与</w:t>
      </w:r>
      <w:r>
        <w:rPr>
          <w:rFonts w:ascii="Consolas" w:hAnsi="Consolas" w:eastAsia="等线"/>
        </w:rPr>
        <w:t>SHA256</w:t>
      </w:r>
      <w:r>
        <w:rPr>
          <w:rFonts w:ascii="Times New Roman" w:hAnsi="Times New Roman" w:eastAsia="宋体"/>
        </w:rPr>
        <w:t>。严格完整性模式要求后两项同时存在，兼容模式保持历史条目的标签访问；目录规范和获取逻辑对多URL与完整性字段采用统一表达。</w:t>
      </w:r>
    </w:p>
    <w:p>
      <w:r>
        <w:rPr>
          <w:rFonts w:ascii="Times New Roman" w:hAnsi="Times New Roman" w:eastAsia="宋体"/>
        </w:rPr>
        <w:t>产品获取以标签为入口。系统保留目录中的全部镜像，并在存在可用延迟信号时辅助安排候选顺序；文件内容统一依据目录完整性元数据判定。每次镜像尝试写入进程级唯一临时文件，对带完整性元数据的条目检查文件状态、字节数和SHA-256，通过后移动至正式路径；各镜像尝试相互隔离，正式路径始终对应最近一次通过核验的产品。全库同步、状态查询和历史数据整理复用相同目录与获取逻辑。</w:t>
      </w:r>
    </w:p>
    <w:p>
      <w:r>
        <w:rPr>
          <w:rFonts w:ascii="Times New Roman" w:hAnsi="Times New Roman" w:eastAsia="宋体"/>
        </w:rPr>
        <w:t>这一设计将镜像选择与内容完整性判定分离：镜像和延迟信息用于组织候选顺序与回退，目录中的标准产品标识与完整性字段用于内容核验。多镜像实验选取已配置多个镜像和完整性元数据的代表性产品，综合评价候选遍历、内容核验和事务式落盘机制；相关接口、状态恢复流程和目录条目示例见补充材料。</w:t>
      </w:r>
    </w:p>
    <w:p>
      <w:pPr>
        <w:pStyle w:val="Heading2"/>
      </w:pPr>
      <w:r>
        <w:rPr>
          <w:rFonts w:ascii="Times New Roman" w:hAnsi="Times New Roman" w:eastAsia="宋体"/>
        </w:rPr>
        <w:t>2.4 统一读取与模型输入组织</w:t>
      </w:r>
    </w:p>
    <w:p>
      <w:pPr>
        <w:pStyle w:val="Heading3"/>
      </w:pPr>
      <w:r>
        <w:rPr>
          <w:rFonts w:ascii="Times New Roman" w:hAnsi="Times New Roman" w:eastAsia="宋体"/>
        </w:rPr>
        <w:t>2.4.1 标准网格数据读取</w:t>
      </w:r>
    </w:p>
    <w:p>
      <w:r>
        <w:rPr>
          <w:rFonts w:ascii="Times New Roman" w:hAnsi="Times New Roman" w:eastAsia="宋体"/>
        </w:rPr>
        <w:t>标准网格数据读取接口支持以本地NetCDF路径或数据标签访问数据，并提供整场数组、指定周期切片、站点全部周期和站点指定周期4种读取方式。标签对应的NetCDF可由目录模块自动获取；默认返回标准变量</w:t>
      </w:r>
      <w:r>
        <w:rPr>
          <w:rFonts w:ascii="Consolas" w:hAnsi="Consolas" w:eastAsia="等线"/>
        </w:rPr>
        <w:t>data</w:t>
      </w:r>
      <w:r>
        <w:rPr>
          <w:rFonts w:ascii="Times New Roman" w:hAnsi="Times New Roman" w:eastAsia="宋体"/>
        </w:rPr>
        <w:t>，也可读取原始数值或同形不确定性变量</w:t>
      </w:r>
      <w:r>
        <w:rPr>
          <w:rFonts w:ascii="Consolas" w:hAnsi="Consolas" w:eastAsia="等线"/>
        </w:rPr>
        <w:t>std</w:t>
      </w:r>
      <w:r>
        <w:rPr>
          <w:rFonts w:ascii="Times New Roman" w:hAnsi="Times New Roman" w:eastAsia="宋体"/>
        </w:rPr>
        <w:t>。模型输入组织层直接继承数据生产与标准化层统一的单位、缺失值和物理范围，使处理规则集中于共享生产契约，并兼容既有读取方式。</w:t>
      </w:r>
    </w:p>
    <w:p>
      <w:r>
        <w:rPr>
          <w:rFonts w:ascii="Times New Roman" w:hAnsi="Times New Roman" w:eastAsia="宋体"/>
        </w:rPr>
        <w:t>站点读取依据全球规则经纬网分辨率把经纬度映射为数组索引，并以标准文件的</w:t>
      </w:r>
      <w:r>
        <w:rPr>
          <w:rFonts w:ascii="Consolas" w:hAnsi="Consolas" w:eastAsia="等线"/>
        </w:rPr>
        <w:t>(lon,lat[,ind])</w:t>
      </w:r>
      <w:r>
        <w:rPr>
          <w:rFonts w:ascii="Times New Roman" w:hAnsi="Times New Roman" w:eastAsia="宋体"/>
        </w:rPr>
        <w:t>顺序及西向东、南向北排列为输入契约。接口面向全球规则网格的原位索引，区域投影、非规则网格和空间插值可在数据生产与标准化层完成转换；周期索引的月份、日期或小时含义由对应数据元数据解释。</w:t>
      </w:r>
    </w:p>
    <w:p>
      <w:pPr>
        <w:pStyle w:val="Heading3"/>
      </w:pPr>
      <w:r>
        <w:rPr>
          <w:rFonts w:ascii="Times New Roman" w:hAnsi="Times New Roman" w:eastAsia="宋体"/>
        </w:rPr>
        <w:t>2.4.2 模型参数与气象驱动组织</w:t>
      </w:r>
    </w:p>
    <w:p>
      <w:r>
        <w:rPr>
          <w:rFonts w:ascii="Times New Roman" w:hAnsi="Times New Roman" w:eastAsia="宋体"/>
        </w:rPr>
        <w:t>格点尺度陆面参数组织接口从预定义产品集合中提取土壤、冠层、叶片、地形、陆地掩膜和植物功能型数据，依据陆面状态融合相应参数，并对叶面积指数、叶绿素、冠层聚集度和最大羧化速率等季节序列执行Gapfill与逐日重采样。第二套陆面参数集合</w:t>
      </w:r>
      <w:r>
        <w:rPr>
          <w:rFonts w:ascii="Consolas" w:hAnsi="Consolas" w:eastAsia="等线"/>
        </w:rPr>
        <w:t>gm2</w:t>
      </w:r>
      <w:r>
        <w:rPr>
          <w:rFonts w:ascii="Times New Roman" w:hAnsi="Times New Roman" w:eastAsia="宋体"/>
        </w:rPr>
        <w:t>由14类标准产品组成，其中冠层聚集度采用月尺度产品，其余字段按各自空间与时间分辨率进入统一格点。</w:t>
      </w:r>
    </w:p>
    <w:p>
      <w:r>
        <w:rPr>
          <w:rFonts w:ascii="Times New Roman" w:hAnsi="Times New Roman" w:eastAsia="宋体"/>
        </w:rPr>
        <w:t>植物功能型比例进一步用于融合C3/C4植被的叶片光学参数和Medlyn气孔参数，并由</w:t>
      </w:r>
      <w:r>
        <w:rPr>
          <w:rFonts w:ascii="Consolas" w:hAnsi="Consolas" w:eastAsia="等线"/>
        </w:rPr>
        <w:t>VCMAX25</w:t>
      </w:r>
      <w:r>
        <w:rPr>
          <w:rFonts w:ascii="Times New Roman" w:hAnsi="Times New Roman" w:eastAsia="宋体"/>
        </w:rPr>
        <w:t>推导</w:t>
      </w:r>
      <w:r>
        <w:rPr>
          <w:rFonts w:ascii="Consolas" w:hAnsi="Consolas" w:eastAsia="等线"/>
        </w:rPr>
        <w:t>JMAX25</w:t>
      </w:r>
      <w:r>
        <w:rPr>
          <w:rFonts w:ascii="Times New Roman" w:hAnsi="Times New Roman" w:eastAsia="宋体"/>
        </w:rPr>
        <w:t>和</w:t>
      </w:r>
      <w:r>
        <w:rPr>
          <w:rFonts w:ascii="Consolas" w:hAnsi="Consolas" w:eastAsia="等线"/>
        </w:rPr>
        <w:t>B6F</w:t>
      </w:r>
      <w:r>
        <w:rPr>
          <w:rFonts w:ascii="Times New Roman" w:hAnsi="Times New Roman" w:eastAsia="宋体"/>
        </w:rPr>
        <w:t>。输出涵盖位置、分辨率、年份、CO₂、土壤水力性质、冠层结构、植物功能型组成、叶片生物物理和光合参数；字段完整性与</w:t>
      </w:r>
      <w:r>
        <w:rPr>
          <w:rFonts w:ascii="Consolas" w:hAnsi="Consolas" w:eastAsia="等线"/>
        </w:rPr>
        <w:t>NaN</w:t>
      </w:r>
      <w:r>
        <w:rPr>
          <w:rFonts w:ascii="Times New Roman" w:hAnsi="Times New Roman" w:eastAsia="宋体"/>
        </w:rPr>
        <w:t>状态同步进入质量控制。多个标准产品由此形成结构一致的格点级模型输入。</w:t>
      </w:r>
    </w:p>
    <w:p>
      <w:r>
        <w:rPr>
          <w:rFonts w:ascii="Times New Roman" w:hAnsi="Times New Roman" w:eastAsia="宋体"/>
        </w:rPr>
        <w:t>格点尺度气象驱动接口按年份和格点读取气象驱动集合</w:t>
      </w:r>
      <w:r>
        <w:rPr>
          <w:rFonts w:ascii="Consolas" w:hAnsi="Consolas" w:eastAsia="等线"/>
        </w:rPr>
        <w:t>wd1</w:t>
      </w:r>
      <w:r>
        <w:rPr>
          <w:rFonts w:ascii="Times New Roman" w:hAnsi="Times New Roman" w:eastAsia="宋体"/>
        </w:rPr>
        <w:t>中的8类ERA5产品，分别提取地表气压、降水、漫射与直射短波辐射、长波辐射、气温、水汽压亏缺和风速，并依据格点经度换算时区偏移、构建浮点年积日</w:t>
      </w:r>
      <w:r>
        <w:rPr>
          <w:rFonts w:ascii="Consolas" w:hAnsi="Consolas" w:eastAsia="等线"/>
        </w:rPr>
        <w:t>FDOY</w:t>
      </w:r>
      <w:r>
        <w:rPr>
          <w:rFonts w:ascii="Times New Roman" w:hAnsi="Times New Roman" w:eastAsia="宋体"/>
        </w:rPr>
        <w:t>。接口既可直接按经纬度读取，也可从已经加载的全局气象数组提取格点序列，输出字段完整性与</w:t>
      </w:r>
      <w:r>
        <w:rPr>
          <w:rFonts w:ascii="Consolas" w:hAnsi="Consolas" w:eastAsia="等线"/>
        </w:rPr>
        <w:t>NaN</w:t>
      </w:r>
      <w:r>
        <w:rPr>
          <w:rFonts w:ascii="Times New Roman" w:hAnsi="Times New Roman" w:eastAsia="宋体"/>
        </w:rPr>
        <w:t>状态同步进入质量控制。</w:t>
      </w:r>
    </w:p>
    <w:p>
      <w:r>
        <w:rPr>
          <w:rFonts w:ascii="Times New Roman" w:hAnsi="Times New Roman" w:eastAsia="宋体"/>
        </w:rPr>
        <w:t>标签驱动的数据访问、陆面参数融合与气象驱动组织共同构成模型输入组织层。本文将“模型就绪”具体界定为：标准产品经过格点索引、字段组织、时间轴构建和量纲衔接后，形成满足Emerald初始化接口的数据结构。与2022版通过标签组织数据访问的思路一致[4]，新版进一步把目录配置与更新、完整性获取、标准网格读取和模型输入组织连接为连续公共数据流。用户以数据标签发现产品，经镜像获取，并在目录提供完整性元数据时执行内容核验，再读取整场、周期或格点数据，并形成陆面参数或气象驱动；具体公共接口、调用参数和完整Julia示例列入补充材料与版本化用户指南。</w:t>
      </w:r>
    </w:p>
    <w:p>
      <w:pPr>
        <w:pStyle w:val="Heading1"/>
      </w:pPr>
      <w:r>
        <w:rPr>
          <w:rFonts w:ascii="Times New Roman" w:hAnsi="Times New Roman" w:eastAsia="宋体"/>
        </w:rPr>
        <w:t>3 应用案例与评价方法</w:t>
      </w:r>
    </w:p>
    <w:p>
      <w:r>
        <w:rPr>
          <w:rFonts w:ascii="Times New Roman" w:hAnsi="Times New Roman" w:eastAsia="宋体"/>
        </w:rPr>
        <w:t>表3按照受控实验、真实数据和真实网络应用组织全文证据，并列出各项核心贡献对应的主要评价指标。跨操作系统持续集成作为横向维度，贯穿生产、分发和模型接口的确定性核心路径。</w:t>
      </w:r>
    </w:p>
    <w:p>
      <w:pPr>
        <w:ind w:firstLine="0"/>
      </w:pPr>
      <w:r>
        <w:rPr>
          <w:rFonts w:ascii="Times New Roman" w:hAnsi="Times New Roman" w:eastAsia="宋体"/>
          <w:b/>
        </w:rPr>
        <w:t>表3 GriddingMachine框架核心贡献、证据层级与主要评价指标</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宋体"/>
                <w:b/>
                <w:sz w:val="18"/>
              </w:rPr>
              <w:t>核心贡献</w:t>
            </w:r>
          </w:p>
        </w:tc>
        <w:tc>
          <w:tcPr>
            <w:tcW w:type="dxa" w:w="2211"/>
            <w:shd w:fill="D9EAF7"/>
          </w:tcPr>
          <w:p>
            <w:r>
              <w:rPr>
                <w:b/>
                <w:sz w:val="18"/>
              </w:rPr>
            </w:r>
            <w:r>
              <w:rPr>
                <w:rFonts w:ascii="Times New Roman" w:hAnsi="Times New Roman" w:eastAsia="宋体"/>
                <w:b/>
                <w:sz w:val="18"/>
              </w:rPr>
              <w:t>受控或确定性证据</w:t>
            </w:r>
          </w:p>
        </w:tc>
        <w:tc>
          <w:tcPr>
            <w:tcW w:type="dxa" w:w="2211"/>
            <w:shd w:fill="D9EAF7"/>
          </w:tcPr>
          <w:p>
            <w:r>
              <w:rPr>
                <w:b/>
                <w:sz w:val="18"/>
              </w:rPr>
            </w:r>
            <w:r>
              <w:rPr>
                <w:rFonts w:ascii="Times New Roman" w:hAnsi="Times New Roman" w:eastAsia="宋体"/>
                <w:b/>
                <w:sz w:val="18"/>
              </w:rPr>
              <w:t>真实数据/网络应用</w:t>
            </w:r>
          </w:p>
        </w:tc>
        <w:tc>
          <w:tcPr>
            <w:tcW w:type="dxa" w:w="2211"/>
            <w:shd w:fill="D9EAF7"/>
          </w:tcPr>
          <w:p>
            <w:r>
              <w:rPr>
                <w:b/>
                <w:sz w:val="18"/>
              </w:rPr>
            </w:r>
            <w:r>
              <w:rPr>
                <w:rFonts w:ascii="Times New Roman" w:hAnsi="Times New Roman" w:eastAsia="宋体"/>
                <w:b/>
                <w:sz w:val="18"/>
              </w:rPr>
              <w:t>主要评价指标</w:t>
            </w:r>
          </w:p>
        </w:tc>
      </w:tr>
      <w:tr>
        <w:tc>
          <w:tcPr>
            <w:tcW w:type="dxa" w:w="2211"/>
          </w:tcPr>
          <w:p>
            <w:r>
              <w:rPr>
                <w:sz w:val="18"/>
              </w:rPr>
            </w:r>
            <w:r>
              <w:rPr>
                <w:rFonts w:ascii="Times New Roman" w:hAnsi="Times New Roman" w:eastAsia="宋体"/>
                <w:sz w:val="18"/>
              </w:rPr>
              <w:t>数据生产与标准化层将异构源数据转换为标准NetCDF</w:t>
            </w:r>
          </w:p>
        </w:tc>
        <w:tc>
          <w:tcPr>
            <w:tcW w:type="dxa" w:w="2211"/>
          </w:tcPr>
          <w:p>
            <w:r>
              <w:rPr>
                <w:sz w:val="18"/>
              </w:rPr>
            </w:r>
            <w:r>
              <w:rPr>
                <w:rFonts w:ascii="Times New Roman" w:hAnsi="Times New Roman" w:eastAsia="宋体"/>
                <w:sz w:val="18"/>
              </w:rPr>
              <w:t>31组受控实例、ELEV重复生产与逐点核对</w:t>
            </w:r>
          </w:p>
        </w:tc>
        <w:tc>
          <w:tcPr>
            <w:tcW w:type="dxa" w:w="2211"/>
          </w:tcPr>
          <w:p>
            <w:r>
              <w:rPr>
                <w:sz w:val="18"/>
              </w:rPr>
            </w:r>
            <w:r>
              <w:rPr>
                <w:rFonts w:ascii="Times New Roman" w:hAnsi="Times New Roman" w:eastAsia="宋体"/>
                <w:sz w:val="18"/>
              </w:rPr>
              <w:t>OISST V2.1真实异构源数据</w:t>
            </w:r>
          </w:p>
        </w:tc>
        <w:tc>
          <w:tcPr>
            <w:tcW w:type="dxa" w:w="2211"/>
          </w:tcPr>
          <w:p>
            <w:r>
              <w:rPr>
                <w:sz w:val="18"/>
              </w:rPr>
            </w:r>
            <w:r>
              <w:rPr>
                <w:rFonts w:ascii="Times New Roman" w:hAnsi="Times New Roman" w:eastAsia="宋体"/>
                <w:sz w:val="18"/>
              </w:rPr>
              <w:t>维度与坐标、有效值掩膜、逐点物理值、重复生成摘要</w:t>
            </w:r>
          </w:p>
        </w:tc>
      </w:tr>
      <w:tr>
        <w:tc>
          <w:tcPr>
            <w:tcW w:type="dxa" w:w="2211"/>
          </w:tcPr>
          <w:p>
            <w:r>
              <w:rPr>
                <w:sz w:val="18"/>
              </w:rPr>
            </w:r>
            <w:r>
              <w:rPr>
                <w:rFonts w:ascii="Times New Roman" w:hAnsi="Times New Roman" w:eastAsia="宋体"/>
                <w:sz w:val="18"/>
              </w:rPr>
              <w:t>数据目录与可信分发层组织高效且内容可核验的数据获取</w:t>
            </w:r>
          </w:p>
        </w:tc>
        <w:tc>
          <w:tcPr>
            <w:tcW w:type="dxa" w:w="2211"/>
          </w:tcPr>
          <w:p>
            <w:r>
              <w:rPr>
                <w:sz w:val="18"/>
              </w:rPr>
            </w:r>
            <w:r>
              <w:rPr>
                <w:rFonts w:ascii="Times New Roman" w:hAnsi="Times New Roman" w:eastAsia="宋体"/>
                <w:sz w:val="18"/>
              </w:rPr>
              <w:t>ELEV/LAI回环HTTP对照；13类受控状态场景</w:t>
            </w:r>
          </w:p>
        </w:tc>
        <w:tc>
          <w:tcPr>
            <w:tcW w:type="dxa" w:w="2211"/>
          </w:tcPr>
          <w:p>
            <w:r>
              <w:rPr>
                <w:sz w:val="18"/>
              </w:rPr>
            </w:r>
            <w:r>
              <w:rPr>
                <w:rFonts w:ascii="Times New Roman" w:hAnsi="Times New Roman" w:eastAsia="宋体"/>
                <w:sz w:val="18"/>
              </w:rPr>
              <w:t>Zenodo公共网络记录；校园网FTP—Zenodo同文件获取</w:t>
            </w:r>
          </w:p>
        </w:tc>
        <w:tc>
          <w:tcPr>
            <w:tcW w:type="dxa" w:w="2211"/>
          </w:tcPr>
          <w:p>
            <w:r>
              <w:rPr>
                <w:sz w:val="18"/>
              </w:rPr>
            </w:r>
            <w:r>
              <w:rPr>
                <w:rFonts w:ascii="Times New Roman" w:hAnsi="Times New Roman" w:eastAsia="宋体"/>
                <w:sz w:val="18"/>
              </w:rPr>
              <w:t>端到端时间、传输字节、候选遍历、</w:t>
            </w:r>
            <w:r>
              <w:rPr>
                <w:rFonts w:ascii="Consolas" w:hAnsi="Consolas" w:eastAsia="等线"/>
                <w:sz w:val="18"/>
              </w:rPr>
              <w:t>SIZE</w:t>
            </w:r>
            <w:r>
              <w:rPr>
                <w:rFonts w:ascii="Times New Roman" w:hAnsi="Times New Roman" w:eastAsia="宋体"/>
                <w:sz w:val="18"/>
              </w:rPr>
              <w:t>/SHA-256、临时与正式文件状态</w:t>
            </w:r>
          </w:p>
        </w:tc>
      </w:tr>
      <w:tr>
        <w:tc>
          <w:tcPr>
            <w:tcW w:type="dxa" w:w="2211"/>
          </w:tcPr>
          <w:p>
            <w:r>
              <w:rPr>
                <w:sz w:val="18"/>
              </w:rPr>
            </w:r>
            <w:r>
              <w:rPr>
                <w:rFonts w:ascii="Times New Roman" w:hAnsi="Times New Roman" w:eastAsia="宋体"/>
                <w:sz w:val="18"/>
              </w:rPr>
              <w:t>模型输入组织层将标准产品组织为模型就绪输入</w:t>
            </w:r>
          </w:p>
        </w:tc>
        <w:tc>
          <w:tcPr>
            <w:tcW w:type="dxa" w:w="2211"/>
          </w:tcPr>
          <w:p>
            <w:r>
              <w:rPr>
                <w:sz w:val="18"/>
              </w:rPr>
            </w:r>
            <w:r>
              <w:rPr>
                <w:rFonts w:ascii="Times New Roman" w:hAnsi="Times New Roman" w:eastAsia="宋体"/>
                <w:sz w:val="18"/>
              </w:rPr>
              <w:t>确定性读取、字段、时间轴与接口核对</w:t>
            </w:r>
          </w:p>
        </w:tc>
        <w:tc>
          <w:tcPr>
            <w:tcW w:type="dxa" w:w="2211"/>
          </w:tcPr>
          <w:p>
            <w:r>
              <w:rPr>
                <w:sz w:val="18"/>
              </w:rPr>
            </w:r>
            <w:r>
              <w:rPr>
                <w:rFonts w:ascii="Times New Roman" w:hAnsi="Times New Roman" w:eastAsia="宋体"/>
                <w:sz w:val="18"/>
              </w:rPr>
              <w:t>US-NR1的14类陆面产品、8类ERA5及Emerald初始化和60 s首步</w:t>
            </w:r>
          </w:p>
        </w:tc>
        <w:tc>
          <w:tcPr>
            <w:tcW w:type="dxa" w:w="2211"/>
          </w:tcPr>
          <w:p>
            <w:r>
              <w:rPr>
                <w:sz w:val="18"/>
              </w:rPr>
            </w:r>
            <w:r>
              <w:rPr>
                <w:rFonts w:ascii="Times New Roman" w:hAnsi="Times New Roman" w:eastAsia="宋体"/>
                <w:sz w:val="18"/>
              </w:rPr>
              <w:t>字段与形状、时间轴、量纲、逐点数值、初始化与首步状态</w:t>
            </w:r>
          </w:p>
        </w:tc>
      </w:tr>
      <w:tr>
        <w:tc>
          <w:tcPr>
            <w:tcW w:type="dxa" w:w="2211"/>
          </w:tcPr>
          <w:p>
            <w:r>
              <w:rPr>
                <w:sz w:val="18"/>
              </w:rPr>
            </w:r>
            <w:r>
              <w:rPr>
                <w:rFonts w:ascii="Times New Roman" w:hAnsi="Times New Roman" w:eastAsia="宋体"/>
                <w:sz w:val="18"/>
              </w:rPr>
              <w:t>核心实现具有跨操作系统运行一致性</w:t>
            </w:r>
          </w:p>
        </w:tc>
        <w:tc>
          <w:tcPr>
            <w:tcW w:type="dxa" w:w="2211"/>
          </w:tcPr>
          <w:p>
            <w:r>
              <w:rPr>
                <w:sz w:val="18"/>
              </w:rPr>
            </w:r>
            <w:r>
              <w:rPr>
                <w:rFonts w:ascii="Times New Roman" w:hAnsi="Times New Roman" w:eastAsia="宋体"/>
                <w:sz w:val="18"/>
              </w:rPr>
              <w:t>Windows、macOS、Linux持续集成</w:t>
            </w:r>
          </w:p>
        </w:tc>
        <w:tc>
          <w:tcPr>
            <w:tcW w:type="dxa" w:w="2211"/>
          </w:tcPr>
          <w:p>
            <w:r>
              <w:rPr>
                <w:sz w:val="18"/>
              </w:rPr>
            </w:r>
            <w:r>
              <w:rPr>
                <w:rFonts w:ascii="Times New Roman" w:hAnsi="Times New Roman" w:eastAsia="宋体"/>
                <w:sz w:val="18"/>
              </w:rPr>
              <w:t>Windows/macOS独立性能观测及按实际环境记录的真实网络案例</w:t>
            </w:r>
          </w:p>
        </w:tc>
        <w:tc>
          <w:tcPr>
            <w:tcW w:type="dxa" w:w="2211"/>
          </w:tcPr>
          <w:p>
            <w:r>
              <w:rPr>
                <w:sz w:val="18"/>
              </w:rPr>
            </w:r>
            <w:r>
              <w:rPr>
                <w:rFonts w:ascii="Times New Roman" w:hAnsi="Times New Roman" w:eastAsia="宋体"/>
                <w:sz w:val="18"/>
              </w:rPr>
              <w:t>产品结构、逐点数值、文件摘要、缓存状态和接口状态</w:t>
            </w:r>
          </w:p>
        </w:tc>
      </w:tr>
    </w:tbl>
    <w:p>
      <w:pPr>
        <w:ind w:firstLine="0"/>
      </w:pPr>
      <w:r>
        <w:rPr>
          <w:rFonts w:ascii="Times New Roman" w:hAnsi="Times New Roman" w:eastAsia="宋体"/>
          <w:b/>
        </w:rPr>
        <w:t>Table 3 Core contributions, evidence levels, and evaluation metrics for the GriddingMachine framework.</w:t>
      </w:r>
      <w:r>
        <w:rPr>
          <w:rFonts w:ascii="Times New Roman" w:hAnsi="Times New Roman" w:eastAsia="宋体"/>
        </w:rPr>
        <w:t xml:space="preserve"> Controlled experiments and real-data or real-network applications are listed separately, and the final column summarizes the principal metrics used for each contribution.</w:t>
      </w:r>
    </w:p>
    <w:p>
      <w:pPr>
        <w:pStyle w:val="Heading2"/>
      </w:pPr>
      <w:r>
        <w:rPr>
          <w:rFonts w:ascii="Times New Roman" w:hAnsi="Times New Roman" w:eastAsia="宋体"/>
        </w:rPr>
        <w:t>3.1 数据生产与标准化及OISST案例</w:t>
      </w:r>
    </w:p>
    <w:p>
      <w:pPr>
        <w:pStyle w:val="Heading3"/>
      </w:pPr>
      <w:r>
        <w:rPr>
          <w:rFonts w:ascii="Times New Roman" w:hAnsi="Times New Roman" w:eastAsia="宋体"/>
        </w:rPr>
        <w:t>3.1.1 共享生产契约与质量控制</w:t>
      </w:r>
    </w:p>
    <w:p>
      <w:r>
        <w:rPr>
          <w:rFonts w:ascii="Times New Roman" w:hAnsi="Times New Roman" w:eastAsia="宋体"/>
        </w:rPr>
        <w:t>为展示YAML驱动流程对多维地学数据的标准化能力，本文设计具有明确空间语义的位置编码数组：二维数组由经纬度索引共同编码，三维数组进一步加入周期索引。该设计能够清晰呈现维度交换、方向翻转、经度平移和周期组织前后的对应关系，并为标准NetCDF生产提供逐点参照。</w:t>
      </w:r>
    </w:p>
    <w:p>
      <w:r>
        <w:rPr>
          <w:rFonts w:ascii="Times New Roman" w:hAnsi="Times New Roman" w:eastAsia="宋体"/>
        </w:rPr>
        <w:t>代表性处理实例包括</w:t>
      </w:r>
      <w:r>
        <w:rPr>
          <w:rFonts w:ascii="Consolas" w:hAnsi="Consolas" w:eastAsia="等线"/>
        </w:rPr>
        <w:t>(lon,lat)</w:t>
      </w:r>
      <w:r>
        <w:rPr>
          <w:rFonts w:ascii="Times New Roman" w:hAnsi="Times New Roman" w:eastAsia="宋体"/>
        </w:rPr>
        <w:t>与</w:t>
      </w:r>
      <w:r>
        <w:rPr>
          <w:rFonts w:ascii="Consolas" w:hAnsi="Consolas" w:eastAsia="等线"/>
        </w:rPr>
        <w:t>(lon,lat,ind)</w:t>
      </w:r>
      <w:r>
        <w:rPr>
          <w:rFonts w:ascii="Times New Roman" w:hAnsi="Times New Roman" w:eastAsia="宋体"/>
        </w:rPr>
        <w:t>标准输入、</w:t>
      </w:r>
      <w:r>
        <w:rPr>
          <w:rFonts w:ascii="Consolas" w:hAnsi="Consolas" w:eastAsia="等线"/>
        </w:rPr>
        <w:t>(lat,lon)</w:t>
      </w:r>
      <w:r>
        <w:rPr>
          <w:rFonts w:ascii="Times New Roman" w:hAnsi="Times New Roman" w:eastAsia="宋体"/>
        </w:rPr>
        <w:t>与</w:t>
      </w:r>
      <w:r>
        <w:rPr>
          <w:rFonts w:ascii="Consolas" w:hAnsi="Consolas" w:eastAsia="等线"/>
        </w:rPr>
        <w:t>(ind,lat,lon)</w:t>
      </w:r>
      <w:r>
        <w:rPr>
          <w:rFonts w:ascii="Times New Roman" w:hAnsi="Times New Roman" w:eastAsia="宋体"/>
        </w:rPr>
        <w:t>源排列、纬度和经度翻转、</w:t>
      </w:r>
      <w:r>
        <w:rPr>
          <w:rFonts w:ascii="Consolas" w:hAnsi="Consolas" w:eastAsia="等线"/>
        </w:rPr>
        <w:t>0～360°</w:t>
      </w:r>
      <w:r>
        <w:rPr>
          <w:rFonts w:ascii="Times New Roman" w:hAnsi="Times New Roman" w:eastAsia="宋体"/>
        </w:rPr>
        <w:t>经度平移、线性缩放、范围过滤、Gapfill、</w:t>
      </w:r>
      <w:r>
        <w:rPr>
          <w:rFonts w:ascii="Consolas" w:hAnsi="Consolas" w:eastAsia="等线"/>
        </w:rPr>
        <w:t>data/std</w:t>
      </w:r>
      <w:r>
        <w:rPr>
          <w:rFonts w:ascii="Times New Roman" w:hAnsi="Times New Roman" w:eastAsia="宋体"/>
        </w:rPr>
        <w:t>保存和标签生成。配置字段、变量数量、已有产品和标签状态共同覆盖标准产品从源数据到目录登记的主要环节。</w:t>
      </w:r>
    </w:p>
    <w:p>
      <w:r>
        <w:rPr>
          <w:rFonts w:ascii="Times New Roman" w:hAnsi="Times New Roman" w:eastAsia="宋体"/>
        </w:rPr>
        <w:t>共享生产契约的受控评价从维度、坐标、数值、Gapfill、YAML配置、输出和空间方向7个方面组织31组代表性处理实例。各组对应生产流程中的一个关键操作，并以结构、逐点数值或产品状态表征标准化结果；完整分类矩阵见补充材料S4。</w:t>
      </w:r>
    </w:p>
    <w:p>
      <w:r>
        <w:rPr>
          <w:rFonts w:ascii="Times New Roman" w:hAnsi="Times New Roman" w:eastAsia="宋体"/>
        </w:rPr>
        <w:t>产品质量控制覆盖变量、维度、形状、属性、坐标方向、数值范围和Gapfill结果。输出数组与位置编码参照逐点对应，Float32转换采用统一的绝对和相对容差；配置与产品状态通过明确的流程信息反馈给维护者。质量报告同步保存最大绝对误差、最大相对误差、处理历史和重复生产一致性。</w:t>
      </w:r>
    </w:p>
    <w:p>
      <w:r>
        <w:rPr>
          <w:rFonts w:ascii="Times New Roman" w:hAnsi="Times New Roman" w:eastAsia="宋体"/>
        </w:rPr>
        <w:t>29组非交互处理实例在Windows、macOS和Linux持续集成环境中采用相同判据运行；V01和V02空间方向图分别设置正向和南北反转预期。自动结构与数值检查和人工空间审核共同评价生产契约在数组变换、配置解析和空间方向控制方面的跨系统一致性。</w:t>
      </w:r>
    </w:p>
    <w:p>
      <w:r>
        <w:rPr>
          <w:rFonts w:ascii="Times New Roman" w:hAnsi="Times New Roman" w:eastAsia="宋体"/>
        </w:rPr>
        <w:t>配置构建器面向二维数据、含不确定性变量的三维数据和经纬度变换数据生成符合共享配置规范的YAML，并将其直接交给标准产品生产引擎。数据贡献案例进一步贯通配置生成、标准化、自动与人工质量检查、产品发布、目录登记以及下游更新、下载和读取，形成覆盖主要环节的数据贡献入口。</w:t>
      </w:r>
    </w:p>
    <w:p>
      <w:pPr>
        <w:pStyle w:val="Heading3"/>
      </w:pPr>
      <w:r>
        <w:rPr>
          <w:rFonts w:ascii="Times New Roman" w:hAnsi="Times New Roman" w:eastAsia="宋体"/>
        </w:rPr>
        <w:t>3.1.2 OISST异构产品标准化</w:t>
      </w:r>
    </w:p>
    <w:p>
      <w:r>
        <w:rPr>
          <w:rFonts w:ascii="Times New Roman" w:hAnsi="Times New Roman" w:eastAsia="宋体"/>
        </w:rPr>
        <w:t>OISST实际产品用于进一步呈现共享生产契约对异构源结构的适配能力。案例采用NOAA/NCEI 0.25°逐日最优插值海表温度OISST V2.1中仅使用AVHRR数据的正式产品[9]，选取2022年2月25日文件。原始</w:t>
      </w:r>
      <w:r>
        <w:rPr>
          <w:rFonts w:ascii="Consolas" w:hAnsi="Consolas" w:eastAsia="等线"/>
        </w:rPr>
        <w:t>sst</w:t>
      </w:r>
      <w:r>
        <w:rPr>
          <w:rFonts w:ascii="Times New Roman" w:hAnsi="Times New Roman" w:eastAsia="宋体"/>
        </w:rPr>
        <w:t>变量在NetCDF中声明为</w:t>
      </w:r>
      <w:r>
        <w:rPr>
          <w:rFonts w:ascii="Consolas" w:hAnsi="Consolas" w:eastAsia="等线"/>
        </w:rPr>
        <w:t>time×zlev×lat×lon</w:t>
      </w:r>
      <w:r>
        <w:rPr>
          <w:rFonts w:ascii="Times New Roman" w:hAnsi="Times New Roman" w:eastAsia="宋体"/>
        </w:rPr>
        <w:t>，其中</w:t>
      </w:r>
      <w:r>
        <w:rPr>
          <w:rFonts w:ascii="Consolas" w:hAnsi="Consolas" w:eastAsia="等线"/>
        </w:rPr>
        <w:t>zlev</w:t>
      </w:r>
      <w:r>
        <w:rPr>
          <w:rFonts w:ascii="Times New Roman" w:hAnsi="Times New Roman" w:eastAsia="宋体"/>
        </w:rPr>
        <w:t>和</w:t>
      </w:r>
      <w:r>
        <w:rPr>
          <w:rFonts w:ascii="Consolas" w:hAnsi="Consolas" w:eastAsia="等线"/>
        </w:rPr>
        <w:t>time</w:t>
      </w:r>
      <w:r>
        <w:rPr>
          <w:rFonts w:ascii="Times New Roman" w:hAnsi="Times New Roman" w:eastAsia="宋体"/>
        </w:rPr>
        <w:t>均为单例维度；Julia读取后的数组顺序为</w:t>
      </w:r>
      <w:r>
        <w:rPr>
          <w:rFonts w:ascii="Consolas" w:hAnsi="Consolas" w:eastAsia="等线"/>
        </w:rPr>
        <w:t>lon×lat×zlev×time</w:t>
      </w:r>
      <w:r>
        <w:rPr>
          <w:rFonts w:ascii="Times New Roman" w:hAnsi="Times New Roman" w:eastAsia="宋体"/>
        </w:rPr>
        <w:t>，形状为1440×720×1×1。经度覆盖0.125°～359.875°，存储类型为Int16，并以0.01缩放因子解码为摄氏度。</w:t>
      </w:r>
    </w:p>
    <w:p>
      <w:r>
        <w:rPr>
          <w:rFonts w:ascii="Times New Roman" w:hAnsi="Times New Roman" w:eastAsia="宋体"/>
        </w:rPr>
        <w:t>版本化源适配器提取唯一的垂向层和时间层，共享YAML契约进一步完成维度声明、</w:t>
      </w:r>
      <w:r>
        <w:rPr>
          <w:rFonts w:ascii="Consolas" w:hAnsi="Consolas" w:eastAsia="等线"/>
        </w:rPr>
        <w:t>0°～360°</w:t>
      </w:r>
      <w:r>
        <w:rPr>
          <w:rFonts w:ascii="Times New Roman" w:hAnsi="Times New Roman" w:eastAsia="宋体"/>
        </w:rPr>
        <w:t>至</w:t>
      </w:r>
      <w:r>
        <w:rPr>
          <w:rFonts w:ascii="Consolas" w:hAnsi="Consolas" w:eastAsia="等线"/>
        </w:rPr>
        <w:t>[−180°, 180°)</w:t>
      </w:r>
      <w:r>
        <w:rPr>
          <w:rFonts w:ascii="Times New Roman" w:hAnsi="Times New Roman" w:eastAsia="宋体"/>
        </w:rPr>
        <w:t>的经度重排、有效范围控制和缺失值策略，生成</w:t>
      </w:r>
      <w:r>
        <w:rPr>
          <w:rFonts w:ascii="Consolas" w:hAnsi="Consolas" w:eastAsia="等线"/>
        </w:rPr>
        <w:t>SST_OISST_4X_1D_20220225_V1</w:t>
      </w:r>
      <w:r>
        <w:rPr>
          <w:rFonts w:ascii="Times New Roman" w:hAnsi="Times New Roman" w:eastAsia="宋体"/>
        </w:rPr>
        <w:t>标准产品。</w:t>
      </w:r>
    </w:p>
    <w:p>
      <w:r>
        <w:rPr>
          <w:rFonts w:ascii="Times New Roman" w:hAnsi="Times New Roman" w:eastAsia="宋体"/>
        </w:rPr>
        <w:t>独立参考流程直接读取未缩放的Int16存储值，根据原始</w:t>
      </w:r>
      <w:r>
        <w:rPr>
          <w:rFonts w:ascii="Consolas" w:hAnsi="Consolas" w:eastAsia="等线"/>
        </w:rPr>
        <w:t>scale_factor</w:t>
      </w:r>
      <w:r>
        <w:rPr>
          <w:rFonts w:ascii="Times New Roman" w:hAnsi="Times New Roman" w:eastAsia="宋体"/>
        </w:rPr>
        <w:t>、</w:t>
      </w:r>
      <w:r>
        <w:rPr>
          <w:rFonts w:ascii="Consolas" w:hAnsi="Consolas" w:eastAsia="等线"/>
        </w:rPr>
        <w:t>add_offset</w:t>
      </w:r>
      <w:r>
        <w:rPr>
          <w:rFonts w:ascii="Times New Roman" w:hAnsi="Times New Roman" w:eastAsia="宋体"/>
        </w:rPr>
        <w:t>和</w:t>
      </w:r>
      <w:r>
        <w:rPr>
          <w:rFonts w:ascii="Consolas" w:hAnsi="Consolas" w:eastAsia="等线"/>
        </w:rPr>
        <w:t>_FillValue</w:t>
      </w:r>
      <w:r>
        <w:rPr>
          <w:rFonts w:ascii="Times New Roman" w:hAnsi="Times New Roman" w:eastAsia="宋体"/>
        </w:rPr>
        <w:t>构造物理值与缺失值掩膜，并独立计算目标经度索引。参考结果记录全场统计量、10个确定性有效格点和10个缺失格点。标准产品连续生成3次，逐点比较坐标、有效值掩膜和物理值；随后由权威文件生成包含逻辑路径、镜像地址、字节数和SHA-256的目录条目，通过回环HTTP执行事务式下载，并以统一读取接口完成整场核对。</w:t>
      </w:r>
    </w:p>
    <w:p>
      <w:pPr>
        <w:pStyle w:val="Heading2"/>
      </w:pPr>
      <w:r>
        <w:rPr>
          <w:rFonts w:ascii="Times New Roman" w:hAnsi="Times New Roman" w:eastAsia="宋体"/>
        </w:rPr>
        <w:t>3.2 ELEV与LAI的直接NetCDF分发效率评价</w:t>
      </w:r>
    </w:p>
    <w:p>
      <w:r>
        <w:rPr>
          <w:rFonts w:ascii="Times New Roman" w:hAnsi="Times New Roman" w:eastAsia="宋体"/>
        </w:rPr>
        <w:t>直接NetCDF分发效率采用二维静态高程</w:t>
      </w:r>
      <w:r>
        <w:rPr>
          <w:rFonts w:ascii="Consolas" w:hAnsi="Consolas" w:eastAsia="等线"/>
        </w:rPr>
        <w:t>ELEV_4X_1Y_V1</w:t>
      </w:r>
      <w:r>
        <w:rPr>
          <w:rFonts w:ascii="Times New Roman" w:hAnsi="Times New Roman" w:eastAsia="宋体"/>
        </w:rPr>
        <w:t>和三维8日叶面积指数</w:t>
      </w:r>
      <w:r>
        <w:rPr>
          <w:rFonts w:ascii="Consolas" w:hAnsi="Consolas" w:eastAsia="等线"/>
        </w:rPr>
        <w:t>LAI_MODIS_2X_8D_2020_V1</w:t>
      </w:r>
      <w:r>
        <w:rPr>
          <w:rFonts w:ascii="Times New Roman" w:hAnsi="Times New Roman" w:eastAsia="宋体"/>
        </w:rPr>
        <w:t>进行分析，代表不同规模和维度的内部压缩产品。每个标准NetCDF分别以原始</w:t>
      </w:r>
      <w:r>
        <w:rPr>
          <w:rFonts w:ascii="Consolas" w:hAnsi="Consolas" w:eastAsia="等线"/>
        </w:rPr>
        <w:t>.nc</w:t>
      </w:r>
      <w:r>
        <w:rPr>
          <w:rFonts w:ascii="Times New Roman" w:hAnsi="Times New Roman" w:eastAsia="宋体"/>
        </w:rPr>
        <w:t>和包含同一文件的</w:t>
      </w:r>
      <w:r>
        <w:rPr>
          <w:rFonts w:ascii="Consolas" w:hAnsi="Consolas" w:eastAsia="等线"/>
        </w:rPr>
        <w:t>tar.gz</w:t>
      </w:r>
      <w:r>
        <w:rPr>
          <w:rFonts w:ascii="Times New Roman" w:hAnsi="Times New Roman" w:eastAsia="宋体"/>
        </w:rPr>
        <w:t>分发，对照归档采用gzip级别6。两种形式解包后的NetCDF具有相同SHA-256，据此量化省去外层打包与解包带来的时间和临时空间收益。</w:t>
      </w:r>
    </w:p>
    <w:p>
      <w:r>
        <w:rPr>
          <w:rFonts w:ascii="Times New Roman" w:hAnsi="Times New Roman" w:eastAsia="宋体"/>
        </w:rPr>
        <w:t>性能分析基于回环HTTP服务，按随机顺序重复测量传输字节数、打包与解包时间、从请求开始到首次读取NetCDF值的端到端时间，以及下载文件与解包文件并存时的逻辑临时占用。两个独立环境使用一致的脚本和输入文件，时间指标以中位数、四分位距和95% Bootstrap置信区间表示。</w:t>
      </w:r>
    </w:p>
    <w:p>
      <w:pPr>
        <w:pStyle w:val="Heading2"/>
      </w:pPr>
      <w:r>
        <w:rPr>
          <w:rFonts w:ascii="Times New Roman" w:hAnsi="Times New Roman" w:eastAsia="宋体"/>
        </w:rPr>
        <w:t>3.3 多镜像获取与内容完整性</w:t>
      </w:r>
    </w:p>
    <w:p>
      <w:r>
        <w:rPr>
          <w:rFonts w:ascii="Times New Roman" w:hAnsi="Times New Roman" w:eastAsia="宋体"/>
        </w:rPr>
        <w:t>数据目录生命周期涵盖首次建立、版本更新、目录同步、产品获取、状态查询和历史数据整理。代表性目录包含不同版本的</w:t>
      </w:r>
      <w:r>
        <w:rPr>
          <w:rFonts w:ascii="Consolas" w:hAnsi="Consolas" w:eastAsia="等线"/>
        </w:rPr>
        <w:t>Artifacts.yaml</w:t>
      </w:r>
      <w:r>
        <w:rPr>
          <w:rFonts w:ascii="Times New Roman" w:hAnsi="Times New Roman" w:eastAsia="宋体"/>
        </w:rPr>
        <w:t>、多个NetCDF产品和两个镜像端点，并覆盖目录更新、单产品获取、全库同步、历史整理和状态查询。各状态转换通过重复调用考察幂等行为，确定性小型目录参考数据用于呈现事务缓存、正式数据区、全库同步与镜像遍历逻辑。</w:t>
      </w:r>
    </w:p>
    <w:p>
      <w:r>
        <w:rPr>
          <w:rFonts w:ascii="Times New Roman" w:hAnsi="Times New Roman" w:eastAsia="宋体"/>
        </w:rPr>
        <w:t>多镜像分析在两个独立环境中构建内容一致、访问状态可配置的镜像集合，通过延迟分数组织候选顺序，并设置13类受控状态场景，覆盖候选排序、镜像回退、网络访问异常、缓存命中、内容完整性异常和候选耗尽过程。每类场景在各环境中重复5次，记录候选选择、镜像遍历、正式文件状态及SHA-256，据此刻画事务式获取在镜像切换过程中的文件选择、校验与落盘行为。校园网FTP与Zenodo访问进一步呈现机构镜像和公共镜像的互补分发特征与内容一致性；完整场景矩阵列于补充材料S6。</w:t>
      </w:r>
    </w:p>
    <w:p>
      <w:r>
        <w:rPr>
          <w:rFonts w:ascii="Times New Roman" w:hAnsi="Times New Roman" w:eastAsia="宋体"/>
        </w:rPr>
        <w:t>镜像访问实验选取4个同时具有FTP和Zenodo地址且已登记</w:t>
      </w:r>
      <w:r>
        <w:rPr>
          <w:rFonts w:ascii="Consolas" w:hAnsi="Consolas" w:eastAsia="等线"/>
        </w:rPr>
        <w:t>SIZE</w:t>
      </w:r>
      <w:r>
        <w:rPr>
          <w:rFonts w:ascii="Times New Roman" w:hAnsi="Times New Roman" w:eastAsia="宋体"/>
        </w:rPr>
        <w:t>与</w:t>
      </w:r>
      <w:r>
        <w:rPr>
          <w:rFonts w:ascii="Consolas" w:hAnsi="Consolas" w:eastAsia="等线"/>
        </w:rPr>
        <w:t>SHA256</w:t>
      </w:r>
      <w:r>
        <w:rPr>
          <w:rFonts w:ascii="Times New Roman" w:hAnsi="Times New Roman" w:eastAsia="宋体"/>
        </w:rPr>
        <w:t>字段的代表性标签，对各文件—镜像组合开展重复下载，记录候选顺序、传输时间、字节数和SHA-256。公共网络观测刻画Zenodo镜像获取特征；中科大校园网实验对FTP与Zenodo执行同文件只读下载，共形成24次完整性记录。实验数据与环境信息随可复现材料归档。</w:t>
      </w:r>
    </w:p>
    <w:p>
      <w:pPr>
        <w:pStyle w:val="Heading2"/>
      </w:pPr>
      <w:r>
        <w:rPr>
          <w:rFonts w:ascii="Times New Roman" w:hAnsi="Times New Roman" w:eastAsia="宋体"/>
        </w:rPr>
        <w:t>3.4 统一读取与模型输入组织</w:t>
      </w:r>
    </w:p>
    <w:p>
      <w:r>
        <w:rPr>
          <w:rFonts w:ascii="Times New Roman" w:hAnsi="Times New Roman" w:eastAsia="宋体"/>
        </w:rPr>
        <w:t>模型输入组织案例连接标准网格读取、陆面参数融合、气象驱动组织与Emerald初始化。确定性参考数据用于核对字段名、形状、类型、时间索引和缺失值处理；陆面案例采用2020年第二套陆面参数集合，在US-NR1附近植被格点和典型非植被格点呈现不同陆面状态下的模型入口。</w:t>
      </w:r>
    </w:p>
    <w:p>
      <w:r>
        <w:rPr>
          <w:rFonts w:ascii="Times New Roman" w:hAnsi="Times New Roman" w:eastAsia="宋体"/>
        </w:rPr>
        <w:t>真实气象案例使用同一年度的8类ERA5标准产品[10]：地表气压、降水、漫射与直射短波辐射、长波辐射、气温、水汽压亏缺和风速。八文件从中科大机构FTP只读获取，总大小为12 575 376 138字节，并逐文件记录SHA-256。US-NR1坐标（40.0329°N、105.5464°W）由规则索引映射到40.5°N、105.5°W格点；2020年为闰年，预期每个字段包含8784个逐小时值。实验同时核对8个</w:t>
      </w:r>
      <w:r>
        <w:rPr>
          <w:rFonts w:ascii="Consolas" w:hAnsi="Consolas" w:eastAsia="等线"/>
        </w:rPr>
        <w:t>data</w:t>
      </w:r>
      <w:r>
        <w:rPr>
          <w:rFonts w:ascii="Times New Roman" w:hAnsi="Times New Roman" w:eastAsia="宋体"/>
        </w:rPr>
        <w:t>变量的</w:t>
      </w:r>
      <w:r>
        <w:rPr>
          <w:rFonts w:ascii="Consolas" w:hAnsi="Consolas" w:eastAsia="等线"/>
        </w:rPr>
        <w:t>lon×lat×ind</w:t>
      </w:r>
      <w:r>
        <w:rPr>
          <w:rFonts w:ascii="Times New Roman" w:hAnsi="Times New Roman" w:eastAsia="宋体"/>
        </w:rPr>
        <w:t>维度、360×180×8784形状及单位属性。模型输入组织层输出与底层NetCDF直接读取的同一格点序列逐点比较；</w:t>
      </w:r>
      <w:r>
        <w:rPr>
          <w:rFonts w:ascii="Consolas" w:hAnsi="Consolas" w:eastAsia="等线"/>
        </w:rPr>
        <w:t>FDOY</w:t>
      </w:r>
      <w:r>
        <w:rPr>
          <w:rFonts w:ascii="Times New Roman" w:hAnsi="Times New Roman" w:eastAsia="宋体"/>
        </w:rPr>
        <w:t>另按经度/15计算时区偏移并独立重建。随后把真实陆面参数和真实气象驱动共同传入Emerald，检查初始化和60 s首步后的大气、土壤状态是否均为有限值。</w:t>
      </w:r>
    </w:p>
    <w:p>
      <w:pPr>
        <w:pStyle w:val="Heading2"/>
      </w:pPr>
      <w:r>
        <w:rPr>
          <w:rFonts w:ascii="Times New Roman" w:hAnsi="Times New Roman" w:eastAsia="宋体"/>
        </w:rPr>
        <w:t>3.5 跨操作系统运行一致性设计</w:t>
      </w:r>
    </w:p>
    <w:p>
      <w:r>
        <w:rPr>
          <w:rFonts w:ascii="Times New Roman" w:hAnsi="Times New Roman" w:eastAsia="宋体"/>
        </w:rPr>
        <w:t>跨操作系统运行一致性采用本地运行与持续集成相结合的设计。Windows和macOS本地环境运行生产矩阵、ELEV/LAI分发效率、13类受控状态场景以及核心软件与Emerald接口；Linux与另外两个系统的干净持续集成环境运行29组非交互生产实例、40次确定性分发测量、65次镜像状态核对、核心软件功能和Emerald最小接口。统一项目依赖与参考数据用于比较数据结构、逐点数值、正式文件摘要和接口状态。</w:t>
      </w:r>
    </w:p>
    <w:p>
      <w:r>
        <w:rPr>
          <w:rFonts w:ascii="Times New Roman" w:hAnsi="Times New Roman" w:eastAsia="宋体"/>
        </w:rPr>
        <w:t>真实FTP—Zenodo访问按照实际网络环境单独记录，US-NR1真实陆面和ERA5链路作为应用案例归档。由此形成“多系统确定性核心路径—独立环境性能观测—真实网络与数据应用”三个层次的复现设计；完整系统—模块—证据矩阵见补充材料S5。</w:t>
      </w:r>
    </w:p>
    <w:p>
      <w:pPr>
        <w:pStyle w:val="Heading1"/>
      </w:pPr>
      <w:r>
        <w:rPr>
          <w:rFonts w:ascii="Times New Roman" w:hAnsi="Times New Roman" w:eastAsia="宋体"/>
        </w:rPr>
        <w:t>4 结果</w:t>
      </w:r>
    </w:p>
    <w:p>
      <w:r>
        <w:rPr>
          <w:rFonts w:ascii="Times New Roman" w:hAnsi="Times New Roman" w:eastAsia="宋体"/>
        </w:rPr>
        <w:t>按照表3所列评价设计，以下依次呈现标准产品生产、直接NetCDF分发效率、多镜像获取、模型输入组织和跨操作系统运行一致性结果。</w:t>
      </w:r>
    </w:p>
    <w:p>
      <w:pPr>
        <w:pStyle w:val="Heading2"/>
      </w:pPr>
      <w:r>
        <w:rPr>
          <w:rFonts w:ascii="Times New Roman" w:hAnsi="Times New Roman" w:eastAsia="宋体"/>
        </w:rPr>
        <w:t>4.1 数据生产与标准化及OISST结果</w:t>
      </w:r>
    </w:p>
    <w:p>
      <w:pPr>
        <w:pStyle w:val="Heading3"/>
      </w:pPr>
      <w:r>
        <w:rPr>
          <w:rFonts w:ascii="Times New Roman" w:hAnsi="Times New Roman" w:eastAsia="宋体"/>
        </w:rPr>
        <w:t>4.1.1 共享生产契约与质量控制结果</w:t>
      </w:r>
    </w:p>
    <w:p>
      <w:r>
        <w:rPr>
          <w:rFonts w:ascii="Times New Roman" w:hAnsi="Times New Roman" w:eastAsia="宋体"/>
        </w:rPr>
        <w:t>31组处理实例覆盖维度、坐标、数值、Gapfill、配置、输出和空间方向控制，其中29组非交互实例在三系统持续集成环境中获得一致的产品结构和逐点数值结果；人工空间审核分别接受正向图并识别南北反转图，与预设方向结果一致。数据贡献案例进一步贯通YAML配置、标准产品生成、目录登记和下游读取，生成产品与参考数组逐点一致，目录中的文件字节数和SHA-256与产品相符。</w:t>
      </w:r>
    </w:p>
    <w:p>
      <w:r>
        <w:rPr>
          <w:rFonts w:ascii="Times New Roman" w:hAnsi="Times New Roman" w:eastAsia="宋体"/>
        </w:rPr>
        <w:t>ELEV补充案例使用已通过文件大小和SHA-256校验的</w:t>
      </w:r>
      <w:r>
        <w:rPr>
          <w:rFonts w:ascii="Consolas" w:hAnsi="Consolas" w:eastAsia="等线"/>
        </w:rPr>
        <w:t>ELEV_4X_1Y_V1.nc</w:t>
      </w:r>
      <w:r>
        <w:rPr>
          <w:rFonts w:ascii="Times New Roman" w:hAnsi="Times New Roman" w:eastAsia="宋体"/>
        </w:rPr>
        <w:t>。该文件为1440×720、全域有效，有限值范围为−415.5～5 357.7002 m；GriddingMachine整场读取与NetCDF底层Float32数组逐点一致。使用显式标准维度、</w:t>
      </w:r>
      <w:r>
        <w:rPr>
          <w:rFonts w:ascii="Consolas" w:hAnsi="Consolas" w:eastAsia="等线"/>
        </w:rPr>
        <w:t>KEEP_AS_IS</w:t>
      </w:r>
      <w:r>
        <w:rPr>
          <w:rFonts w:ascii="Times New Roman" w:hAnsi="Times New Roman" w:eastAsia="宋体"/>
        </w:rPr>
        <w:t>和原值保持配置连续处理3次，三次</w:t>
      </w:r>
      <w:r>
        <w:rPr>
          <w:rFonts w:ascii="Consolas" w:hAnsi="Consolas" w:eastAsia="等线"/>
        </w:rPr>
        <w:t>data/lon/lat</w:t>
      </w:r>
      <w:r>
        <w:rPr>
          <w:rFonts w:ascii="Times New Roman" w:hAnsi="Times New Roman" w:eastAsia="宋体"/>
        </w:rPr>
        <w:t>均与输入一致，输出文件SHA-256也彼此相同，表明标准产品经过统一读取和生产流水线后保持科学数组及坐标。</w:t>
      </w:r>
    </w:p>
    <w:p>
      <w:pPr>
        <w:pStyle w:val="Heading3"/>
      </w:pPr>
      <w:r>
        <w:rPr>
          <w:rFonts w:ascii="Times New Roman" w:hAnsi="Times New Roman" w:eastAsia="宋体"/>
        </w:rPr>
        <w:t>4.1.2 OISST异构产品标准化结果</w:t>
      </w:r>
    </w:p>
    <w:p>
      <w:r>
        <w:rPr>
          <w:rFonts w:ascii="Times New Roman" w:hAnsi="Times New Roman" w:eastAsia="宋体"/>
        </w:rPr>
        <w:t>OISST案例展示了共享生产契约对异构地学源数据的组织能力。原始</w:t>
      </w:r>
      <w:r>
        <w:rPr>
          <w:rFonts w:ascii="Consolas" w:hAnsi="Consolas" w:eastAsia="等线"/>
        </w:rPr>
        <w:t>sst</w:t>
      </w:r>
      <w:r>
        <w:rPr>
          <w:rFonts w:ascii="Times New Roman" w:hAnsi="Times New Roman" w:eastAsia="宋体"/>
        </w:rPr>
        <w:t>变量在Julia读取路径中呈现为1440×720×1×1的</w:t>
      </w:r>
      <w:r>
        <w:rPr>
          <w:rFonts w:ascii="Consolas" w:hAnsi="Consolas" w:eastAsia="等线"/>
        </w:rPr>
        <w:t>lon×lat×zlev×time</w:t>
      </w:r>
      <w:r>
        <w:rPr>
          <w:rFonts w:ascii="Times New Roman" w:hAnsi="Times New Roman" w:eastAsia="宋体"/>
        </w:rPr>
        <w:t>数组，经单例层提取、Int16物理值解码和经度重排后形成1440×720标准产品。输出经度由−179.875°递增至179.875°，纬度由−89.875°递增至89.875°；691 150个有效格点和345 650个缺失格点与独立参考逐点一致，海表温度范围为−1.80～32.39 ℃，全场平均值为14.013 ℃，最大绝对差为0。</w:t>
      </w:r>
    </w:p>
    <w:p>
      <w:r>
        <w:rPr>
          <w:rFonts w:ascii="Times New Roman" w:hAnsi="Times New Roman" w:eastAsia="宋体"/>
        </w:rPr>
        <w:t>标准产品连续生成3次，科学数组、坐标和文件SHA-256均保持一致。生成文件为997 006字节，目录条目自动登记相同的字节数和SHA-256；经回环HTTP事务式下载后，正式文件摘要与目录完全一致，传输临时文件全部完成回收。统一读取接口获得的整场数组与独立参考逐点一致，验证了从源产品、共享YAML生产、目录登记到标准读取的端到端数据链路。</w:t>
      </w:r>
    </w:p>
    <w:p>
      <w:pPr>
        <w:jc w:val="center"/>
      </w:pPr>
      <w:r>
        <w:drawing>
          <wp:inline xmlns:a="http://schemas.openxmlformats.org/drawingml/2006/main" xmlns:pic="http://schemas.openxmlformats.org/drawingml/2006/picture">
            <wp:extent cx="5400000" cy="3887147"/>
            <wp:docPr id="2" name="Picture 2"/>
            <wp:cNvGraphicFramePr>
              <a:graphicFrameLocks noChangeAspect="1"/>
            </wp:cNvGraphicFramePr>
            <a:graphic>
              <a:graphicData uri="http://schemas.openxmlformats.org/drawingml/2006/picture">
                <pic:pic>
                  <pic:nvPicPr>
                    <pic:cNvPr id="0" name="图2_OISST真实产品标准化结果.png"/>
                    <pic:cNvPicPr/>
                  </pic:nvPicPr>
                  <pic:blipFill>
                    <a:blip r:embed="rId10"/>
                    <a:stretch>
                      <a:fillRect/>
                    </a:stretch>
                  </pic:blipFill>
                  <pic:spPr>
                    <a:xfrm>
                      <a:off x="0" y="0"/>
                      <a:ext cx="5400000" cy="3887147"/>
                    </a:xfrm>
                    <a:prstGeom prst="rect"/>
                  </pic:spPr>
                </pic:pic>
              </a:graphicData>
            </a:graphic>
          </wp:inline>
        </w:drawing>
      </w:r>
    </w:p>
    <w:p>
      <w:pPr>
        <w:ind w:firstLine="0"/>
      </w:pPr>
      <w:r>
        <w:rPr>
          <w:rFonts w:ascii="Times New Roman" w:hAnsi="Times New Roman" w:eastAsia="宋体"/>
          <w:b/>
        </w:rPr>
        <w:t>图2 OISST V2.1产品标准化结果</w:t>
      </w:r>
      <w:r>
        <w:rPr>
          <w:rFonts w:ascii="Times New Roman" w:hAnsi="Times New Roman" w:eastAsia="宋体"/>
        </w:rPr>
        <w:t xml:space="preserve"> （a）2022年2月25日全球海表温度标准产品；（b）从四维源结构、存储值解码和经度重排到二维标准网格的转换路径；（c）坐标、有效值掩膜、物理值及重复生成摘要的独立参考核对。标准产品为1440×720规则网格，691 150个有效格点及345 650个缺失格点与独立参考掩膜逐点一致，物理值最大绝对差为0，3次生成的文件摘要相同。</w:t>
      </w:r>
    </w:p>
    <w:p>
      <w:pPr>
        <w:ind w:firstLine="0"/>
      </w:pPr>
      <w:r>
        <w:rPr>
          <w:rFonts w:ascii="Times New Roman" w:hAnsi="Times New Roman" w:eastAsia="宋体"/>
          <w:b/>
        </w:rPr>
        <w:t>Fig. 2 Standardization results for the OISST V2.1 product.</w:t>
      </w:r>
      <w:r>
        <w:rPr>
          <w:rFonts w:ascii="Times New Roman" w:hAnsi="Times New Roman" w:eastAsia="宋体"/>
        </w:rPr>
        <w:t xml:space="preserve"> (a) Global standardized sea-surface temperature on 25 February 2022; (b) the transformation from the four-dimensional source layout through stored-value decoding and longitude reordering to the two-dimensional standard grid; and (c) independent-reference checks of coordinates, the finite-value mask, physical values, and repeated file digests. The 1440 × 720 product contains 691,150 finite and 345,650 missing cells that match the independently decoded reference mask point by point, with a maximum absolute physical-value difference of zero and identical file digests across three runs.</w:t>
      </w:r>
    </w:p>
    <w:p>
      <w:pPr>
        <w:pStyle w:val="Heading2"/>
      </w:pPr>
      <w:r>
        <w:rPr>
          <w:rFonts w:ascii="Times New Roman" w:hAnsi="Times New Roman" w:eastAsia="宋体"/>
        </w:rPr>
        <w:t>4.2 ELEV与LAI的直接NetCDF分发效率</w:t>
      </w:r>
    </w:p>
    <w:p>
      <w:r>
        <w:rPr>
          <w:rFonts w:ascii="Times New Roman" w:hAnsi="Times New Roman" w:eastAsia="宋体"/>
        </w:rPr>
        <w:t>新版采用直接NetCDF作为分发制品。本研究以通过来源MD5与SHA-256校验的</w:t>
      </w:r>
      <w:r>
        <w:rPr>
          <w:rFonts w:ascii="Consolas" w:hAnsi="Consolas" w:eastAsia="等线"/>
        </w:rPr>
        <w:t>ELEV_4X_1Y_V1</w:t>
      </w:r>
      <w:r>
        <w:rPr>
          <w:rFonts w:ascii="Times New Roman" w:hAnsi="Times New Roman" w:eastAsia="宋体"/>
        </w:rPr>
        <w:t>和</w:t>
      </w:r>
      <w:r>
        <w:rPr>
          <w:rFonts w:ascii="Consolas" w:hAnsi="Consolas" w:eastAsia="等线"/>
        </w:rPr>
        <w:t>LAI_MODIS_2X_8D_2020_V1</w:t>
      </w:r>
      <w:r>
        <w:rPr>
          <w:rFonts w:ascii="Times New Roman" w:hAnsi="Times New Roman" w:eastAsia="宋体"/>
        </w:rPr>
        <w:t>评价分发效率，并在环境A（Windows）和环境B（macOS）中采用一致协议。两文件的</w:t>
      </w:r>
      <w:r>
        <w:rPr>
          <w:rFonts w:ascii="Consolas" w:hAnsi="Consolas" w:eastAsia="等线"/>
        </w:rPr>
        <w:t>data</w:t>
      </w:r>
      <w:r>
        <w:rPr>
          <w:rFonts w:ascii="Times New Roman" w:hAnsi="Times New Roman" w:eastAsia="宋体"/>
        </w:rPr>
        <w:t>变量均采用NetCDF内部zlib压缩级别4，对照归档采用gzip压缩级别6。回环HTTP条件下，各“数据×形式”组合经过缓存预热并按随机顺序重复10次，解包后内容均通过SHA-256校验。</w:t>
      </w:r>
    </w:p>
    <w:p>
      <w:r>
        <w:rPr>
          <w:rFonts w:ascii="Times New Roman" w:hAnsi="Times New Roman" w:eastAsia="宋体"/>
        </w:rPr>
        <w:t>环境A中，直接NetCDF相对外层</w:t>
      </w:r>
      <w:r>
        <w:rPr>
          <w:rFonts w:ascii="Consolas" w:hAnsi="Consolas" w:eastAsia="等线"/>
        </w:rPr>
        <w:t>tar.gz</w:t>
      </w:r>
      <w:r>
        <w:rPr>
          <w:rFonts w:ascii="Times New Roman" w:hAnsi="Times New Roman" w:eastAsia="宋体"/>
        </w:rPr>
        <w:t>将ELEV和LAI的端到端中位时间分别降低48.3%和82.9%；环境B中的相应降幅分别为53.6%和69.2%。两个数据文件的传输字节分别增加6.43%和2.16%，逻辑临时占用分别减少约48%和49%。80次SHA-256摘要核验结果一致，体现了减少重复压缩、解包及临时文件共存对缩短数据访问路径的贡献。</w:t>
      </w:r>
    </w:p>
    <w:p>
      <w:pPr>
        <w:jc w:val="center"/>
      </w:pPr>
      <w:r>
        <w:drawing>
          <wp:inline xmlns:a="http://schemas.openxmlformats.org/drawingml/2006/main" xmlns:pic="http://schemas.openxmlformats.org/drawingml/2006/picture">
            <wp:extent cx="5400000" cy="2756609"/>
            <wp:docPr id="3" name="Picture 3"/>
            <wp:cNvGraphicFramePr>
              <a:graphicFrameLocks noChangeAspect="1"/>
            </wp:cNvGraphicFramePr>
            <a:graphic>
              <a:graphicData uri="http://schemas.openxmlformats.org/drawingml/2006/picture">
                <pic:pic>
                  <pic:nvPicPr>
                    <pic:cNvPr id="0" name="图3_直接NetCDF分发效率.png"/>
                    <pic:cNvPicPr/>
                  </pic:nvPicPr>
                  <pic:blipFill>
                    <a:blip r:embed="rId11"/>
                    <a:stretch>
                      <a:fillRect/>
                    </a:stretch>
                  </pic:blipFill>
                  <pic:spPr>
                    <a:xfrm>
                      <a:off x="0" y="0"/>
                      <a:ext cx="5400000" cy="2756609"/>
                    </a:xfrm>
                    <a:prstGeom prst="rect"/>
                  </pic:spPr>
                </pic:pic>
              </a:graphicData>
            </a:graphic>
          </wp:inline>
        </w:drawing>
      </w:r>
    </w:p>
    <w:p>
      <w:pPr>
        <w:ind w:firstLine="0"/>
      </w:pPr>
      <w:r>
        <w:rPr>
          <w:rFonts w:ascii="Times New Roman" w:hAnsi="Times New Roman" w:eastAsia="宋体"/>
          <w:b/>
        </w:rPr>
        <w:t>图3 ELEV和LAI产品采用直接NetCDF与外层tar.gz分发的端到端时间比较</w:t>
      </w:r>
      <w:r>
        <w:rPr>
          <w:rFonts w:ascii="Times New Roman" w:hAnsi="Times New Roman" w:eastAsia="宋体"/>
        </w:rPr>
        <w:t xml:space="preserve"> （a）二维高程产品ELEV；（b）三维叶面积指数产品LAI。空心圆表示各组合的10次独立测量，柱高为缓存预热后端到端时间中位数，误差线为95% Bootstrap置信区间；环境A（Windows）和环境B（macOS）采用相同输入文件与测量协议。柱上百分比表示直接NetCDF相对于外层</w:t>
      </w:r>
      <w:r>
        <w:rPr>
          <w:rFonts w:ascii="Consolas" w:hAnsi="Consolas" w:eastAsia="等线"/>
        </w:rPr>
        <w:t>tar.gz</w:t>
      </w:r>
      <w:r>
        <w:rPr>
          <w:rFonts w:ascii="Times New Roman" w:hAnsi="Times New Roman" w:eastAsia="宋体"/>
        </w:rPr>
        <w:t>归档的中位时间降幅。</w:t>
      </w:r>
    </w:p>
    <w:p>
      <w:pPr>
        <w:ind w:firstLine="0"/>
      </w:pPr>
      <w:r>
        <w:rPr>
          <w:rFonts w:ascii="Times New Roman" w:hAnsi="Times New Roman" w:eastAsia="宋体"/>
          <w:b/>
        </w:rPr>
        <w:t>Fig. 3 End-to-end distribution time for the ELEV and LAI products using direct NetCDF and external `tar.gz` archives.</w:t>
      </w:r>
      <w:r>
        <w:rPr>
          <w:rFonts w:ascii="Times New Roman" w:hAnsi="Times New Roman" w:eastAsia="宋体"/>
        </w:rPr>
        <w:t xml:space="preserve"> (a) The two-dimensional ELEV product; (b) the three-dimensional LAI product. Open circles show the 10 measurements for each combination, bars show median warm-cache end-to-end time, and error bars show 95% bootstrap confidence intervals. Environment A (Windows) and environment B (macOS) used identical input files and measurement protocols. Percentages above the bars indicate the reduction in median time achieved by direct NetCDF relative to external </w:t>
      </w:r>
      <w:r>
        <w:rPr>
          <w:rFonts w:ascii="Consolas" w:hAnsi="Consolas" w:eastAsia="等线"/>
        </w:rPr>
        <w:t>tar.gz</w:t>
      </w:r>
      <w:r>
        <w:rPr>
          <w:rFonts w:ascii="Times New Roman" w:hAnsi="Times New Roman" w:eastAsia="宋体"/>
        </w:rPr>
        <w:t xml:space="preserve"> archives.</w:t>
      </w:r>
    </w:p>
    <w:p>
      <w:pPr>
        <w:pStyle w:val="Heading2"/>
      </w:pPr>
      <w:r>
        <w:rPr>
          <w:rFonts w:ascii="Times New Roman" w:hAnsi="Times New Roman" w:eastAsia="宋体"/>
        </w:rPr>
        <w:t>4.3 目录管理与事务式多镜像分发</w:t>
      </w:r>
    </w:p>
    <w:p>
      <w:r>
        <w:rPr>
          <w:rFonts w:ascii="Times New Roman" w:hAnsi="Times New Roman" w:eastAsia="宋体"/>
        </w:rPr>
        <w:t>目录与数据获取模块将目录初始化、事务更新、产品同步、镜像获取、状态查询和历史数据整理组织为统一的数据维护接口。独立目录使数据产品能够随镜像和版本持续更新，事务缓存区与正式数据区的分层机制则将传输过程与标准产品分离，使上一有效目录和已发布产品在目录更新与镜像切换过程中保持稳定。</w:t>
      </w:r>
    </w:p>
    <w:p>
      <w:r>
        <w:rPr>
          <w:rFonts w:ascii="Times New Roman" w:hAnsi="Times New Roman" w:eastAsia="宋体"/>
        </w:rPr>
        <w:t>13类受控状态场景在两个独立操作系统环境中分别重复5次，共形成130次获取记录。在具有可用延迟分数的场景中，目录与数据获取模块按照延迟辅助排序候选，并在首选镜像访问或内容校验状态变化时依次遍历其余地址。每次获取采用独立临时文件，内容经字节数和SHA-256确认后进入正式路径；所有记录均完成临时文件回收，既有正式文件摘要保持一致。</w:t>
      </w:r>
    </w:p>
    <w:p>
      <w:r>
        <w:rPr>
          <w:rFonts w:ascii="Times New Roman" w:hAnsi="Times New Roman" w:eastAsia="宋体"/>
        </w:rPr>
        <w:t>在校外公共网络观测中，两个独立环境分别对4个Zenodo标签重复获取3次，共形成24次下载记录，全部达到登记字节数并通过SHA-256核验。下载时间随文件规模呈梯度变化，重复传输的SHA-256摘要与目录登记值一致，体现了公共镜像、事务式获取和完整性校验的协同作用。</w:t>
      </w:r>
    </w:p>
    <w:p>
      <w:r>
        <w:rPr>
          <w:rFonts w:ascii="Times New Roman" w:hAnsi="Times New Roman" w:eastAsia="宋体"/>
        </w:rPr>
        <w:t>校园网双镜像实验是另一组独立记录：4个产品分别从FTP和Zenodo重复获取3次，两类镜像各形成12次下载，共24次结果，均达到登记字节数并通过SHA-256核验。在本组校园网观测中，延迟辅助排序与实际传输顺序一致，机构镜像与公共镜像提供了内容一致的分发副本；分产品传输时间与网络记录列于补充材料。</w:t>
      </w:r>
    </w:p>
    <w:p>
      <w:r>
        <w:rPr>
          <w:rFonts w:ascii="Times New Roman" w:hAnsi="Times New Roman" w:eastAsia="宋体"/>
        </w:rPr>
        <w:t>ERA5降水数据的单位修订进一步呈现逻辑标签与物理文件的解耦：逻辑标签</w:t>
      </w:r>
      <w:r>
        <w:rPr>
          <w:rFonts w:ascii="Consolas" w:hAnsi="Consolas" w:eastAsia="等线"/>
        </w:rPr>
        <w:t>PPT_ERA5_1X_1H_2020_V1</w:t>
      </w:r>
      <w:r>
        <w:rPr>
          <w:rFonts w:ascii="Times New Roman" w:hAnsi="Times New Roman" w:eastAsia="宋体"/>
        </w:rPr>
        <w:t>保持稳定，目录将其物理URL指向</w:t>
      </w:r>
      <w:r>
        <w:rPr>
          <w:rFonts w:ascii="Consolas" w:hAnsi="Consolas" w:eastAsia="等线"/>
        </w:rPr>
        <w:t>V1_R1.nc</w:t>
      </w:r>
      <w:r>
        <w:rPr>
          <w:rFonts w:ascii="Times New Roman" w:hAnsi="Times New Roman" w:eastAsia="宋体"/>
        </w:rPr>
        <w:t>并登记新的</w:t>
      </w:r>
      <w:r>
        <w:rPr>
          <w:rFonts w:ascii="Consolas" w:hAnsi="Consolas" w:eastAsia="等线"/>
        </w:rPr>
        <w:t>SIZE</w:t>
      </w:r>
      <w:r>
        <w:rPr>
          <w:rFonts w:ascii="Times New Roman" w:hAnsi="Times New Roman" w:eastAsia="宋体"/>
        </w:rPr>
        <w:t>与SHA-256，V1和V1_R1文件以不同后缀并行保留。空缓存Collector实例按V1逻辑标签获取R1文件并通过完整性核验，第二次调用直接复用正式缓存。该案例表明，目录更新能够承接数据修订，同时保持下游逻辑标签和调用接口稳定。</w:t>
      </w:r>
    </w:p>
    <w:p>
      <w:pPr>
        <w:pStyle w:val="Heading2"/>
      </w:pPr>
      <w:r>
        <w:rPr>
          <w:rFonts w:ascii="Times New Roman" w:hAnsi="Times New Roman" w:eastAsia="宋体"/>
        </w:rPr>
        <w:t>4.4 统一读取与模型输入组织</w:t>
      </w:r>
    </w:p>
    <w:p>
      <w:r>
        <w:rPr>
          <w:rFonts w:ascii="Times New Roman" w:hAnsi="Times New Roman" w:eastAsia="宋体"/>
        </w:rPr>
        <w:t>陆面案例使用2020年第二套陆面参数集合的14类标准产品，文件大小、来源摘要和SHA-256均通过核验。US-NR1站点映射至40.5°N、105.5°W的规则格点，参数融合接口组织34个模型字段、366日季节序列、4个土壤层和17个植物功能型，高程、陆地掩膜与叶面积指数得到一致读取。撒哈拉案例被识别为非植被格点并进入相应的陆面状态分流，体现了参数组织前的场景识别能力。该参数集合由此贯通完整性目录、统一读取和陆面参数组织，并覆盖植被与非植被场景。</w:t>
      </w:r>
    </w:p>
    <w:p>
      <w:r>
        <w:rPr>
          <w:rFonts w:ascii="Times New Roman" w:hAnsi="Times New Roman" w:eastAsia="宋体"/>
        </w:rPr>
        <w:t>真实气象案例读取2020年8类ERA5标准产品，八文件合计12 575 376 138字节；各</w:t>
      </w:r>
      <w:r>
        <w:rPr>
          <w:rFonts w:ascii="Consolas" w:hAnsi="Consolas" w:eastAsia="等线"/>
        </w:rPr>
        <w:t>data</w:t>
      </w:r>
      <w:r>
        <w:rPr>
          <w:rFonts w:ascii="Times New Roman" w:hAnsi="Times New Roman" w:eastAsia="宋体"/>
        </w:rPr>
        <w:t>变量均为</w:t>
      </w:r>
      <w:r>
        <w:rPr>
          <w:rFonts w:ascii="Consolas" w:hAnsi="Consolas" w:eastAsia="等线"/>
        </w:rPr>
        <w:t>lon×lat×ind</w:t>
      </w:r>
      <w:r>
        <w:rPr>
          <w:rFonts w:ascii="Times New Roman" w:hAnsi="Times New Roman" w:eastAsia="宋体"/>
        </w:rPr>
        <w:t>、360×180×8784，并带有单位属性。US-NR1格点的地表气压、降水、漫射与直射短波辐射、长波辐射、气温、水汽压亏缺和风速均得到8784个逐小时值，有限值比例均为100%；模型输入组织层输出与底层NetCDF逐点读取的8个字段最大绝对差均为0。按站点经度计算的时区偏移为−7.0364 h，</w:t>
      </w:r>
      <w:r>
        <w:rPr>
          <w:rFonts w:ascii="Consolas" w:hAnsi="Consolas" w:eastAsia="等线"/>
        </w:rPr>
        <w:t>FDOY</w:t>
      </w:r>
      <w:r>
        <w:rPr>
          <w:rFonts w:ascii="Times New Roman" w:hAnsi="Times New Roman" w:eastAsia="宋体"/>
        </w:rPr>
        <w:t>严格递增且与独立公式逐点一致。气象驱动组织形成</w:t>
      </w:r>
      <w:r>
        <w:rPr>
          <w:rFonts w:ascii="Consolas" w:hAnsi="Consolas" w:eastAsia="等线"/>
        </w:rPr>
        <w:t>FDOY</w:t>
      </w:r>
      <w:r>
        <w:rPr>
          <w:rFonts w:ascii="Times New Roman" w:hAnsi="Times New Roman" w:eastAsia="宋体"/>
        </w:rPr>
        <w:t>和8类气象共9个字段，Emerald适配后扩展为16个模型驱动字段；真实陆面参数与真实气象共同完成模型初始化和60 s首步计算，大气与土壤关键状态均保持有限值。</w:t>
      </w:r>
    </w:p>
    <w:p>
      <w:r>
        <w:rPr>
          <w:rFonts w:ascii="Times New Roman" w:hAnsi="Times New Roman" w:eastAsia="宋体"/>
        </w:rPr>
        <w:t>量纲审计进一步表明，PPT全年累计值为0.496409 m水层，即496.409 mm。该数值尺度与ERA5逐小时累计降水的米制表达[11]及Emerald由水层厚度转换为摩尔通量的适配关系一致。据此，标准NetCDF中的降水单位属性统一为</w:t>
      </w:r>
      <w:r>
        <w:rPr>
          <w:rFonts w:ascii="Consolas" w:hAnsi="Consolas" w:eastAsia="等线"/>
        </w:rPr>
        <w:t>m</w:t>
      </w:r>
      <w:r>
        <w:rPr>
          <w:rFonts w:ascii="Times New Roman" w:hAnsi="Times New Roman" w:eastAsia="宋体"/>
        </w:rPr>
        <w:t>，使数据元信息、数值尺度和模型换算形成一致的量纲链条。真实年度案例由此覆盖格点提取、时间轴构建、量纲衔接和模型首步计算等主要接口环节。</w:t>
      </w:r>
    </w:p>
    <w:p>
      <w:pPr>
        <w:pStyle w:val="Heading2"/>
      </w:pPr>
      <w:r>
        <w:rPr>
          <w:rFonts w:ascii="Times New Roman" w:hAnsi="Times New Roman" w:eastAsia="宋体"/>
        </w:rPr>
        <w:t>4.5 跨操作系统运行一致性结果</w:t>
      </w:r>
    </w:p>
    <w:p>
      <w:r>
        <w:rPr>
          <w:rFonts w:ascii="Times New Roman" w:hAnsi="Times New Roman" w:eastAsia="宋体"/>
        </w:rPr>
        <w:t>Windows、macOS和Linux持续集成环境分别完成29组非交互生产实例、40次确定性分发测量和65次镜像状态核对，产品结构、逐点数值、SHA-256摘要、正式文件状态和临时文件回收结果一致。GriddingMachine与GriddingMachineDatasets核心功能以及Emerald合成输入最小接口也在三个系统环境中完成，呈现固定依赖下核心数据路径的跨系统一致性。</w:t>
      </w:r>
    </w:p>
    <w:p>
      <w:r>
        <w:rPr>
          <w:rFonts w:ascii="Times New Roman" w:hAnsi="Times New Roman" w:eastAsia="宋体"/>
        </w:rPr>
        <w:t>Windows和macOS本地环境进一步完成ELEV/LAI性能测量及镜像故障场景，独立公共网络记录完成Zenodo内容核验；校园网环境完成FTP—Zenodo同文件对照，US-NR1案例完成真实陆面与气象产品的模型输入组织。持续集成、独立环境观测和真实数据案例共同构成分层复现证据，具体系统—模块对应关系列于补充材料S5。</w:t>
      </w:r>
    </w:p>
    <w:p>
      <w:pPr>
        <w:pStyle w:val="Heading1"/>
      </w:pPr>
      <w:r>
        <w:rPr>
          <w:rFonts w:ascii="Times New Roman" w:hAnsi="Times New Roman" w:eastAsia="宋体"/>
        </w:rPr>
        <w:t>5 讨论</w:t>
      </w:r>
    </w:p>
    <w:p>
      <w:pPr>
        <w:pStyle w:val="Heading2"/>
      </w:pPr>
      <w:r>
        <w:rPr>
          <w:rFonts w:ascii="Times New Roman" w:hAnsi="Times New Roman" w:eastAsia="宋体"/>
        </w:rPr>
        <w:t>5.1 从统一产品标准到可执行数据生命周期</w:t>
      </w:r>
    </w:p>
    <w:p>
      <w:r>
        <w:rPr>
          <w:rFonts w:ascii="Times New Roman" w:hAnsi="Times New Roman" w:eastAsia="宋体"/>
        </w:rPr>
        <w:t>2022版GriddingMachine已经建立统一网格、变量约定、标签化数据访问以及基于artifact的数据管理[4]。新版进一步把分布于数据源专用处理、软件内置目录和下游调用中的维护单元组织为三个相互衔接的层次：共享YAML契约显式描述异构源到标准产品的转换规则，独立目录维护标准产品的逻辑标识、镜像和完整性元数据，统一读取与模型输入层围绕稳定标签组织下游使用。数据处理规则、产品目录和访问软件由此能够在共同约定下分别更新，并通过标准产品和标签保持连续对应。</w:t>
      </w:r>
    </w:p>
    <w:p>
      <w:r>
        <w:rPr>
          <w:rFonts w:ascii="Times New Roman" w:hAnsi="Times New Roman" w:eastAsia="宋体"/>
        </w:rPr>
        <w:t>OISST案例说明了这种重构在数据生产与标准化层的具体作用。源变量的单例维度、存储缩放和经度范围由源适配与共享配置共同表达，输出通过独立解码参考核对坐标、有效值掩膜和逐点物理值。31组受控实例解析维度、坐标、数值和Gapfill等基本操作的确定性表现，真实OISST呈现这些机制在实际异构产品中的组合路径。由此，新版将处理规则显式化为可执行、可核对的生产契约，并把标准化流程从数据源专用实现提升为可复用的数据生产方法。</w:t>
      </w:r>
    </w:p>
    <w:p>
      <w:pPr>
        <w:pStyle w:val="Heading2"/>
      </w:pPr>
      <w:r>
        <w:rPr>
          <w:rFonts w:ascii="Times New Roman" w:hAnsi="Times New Roman" w:eastAsia="宋体"/>
        </w:rPr>
        <w:t>5.2 直接NetCDF分发与完整性保证的重新建立</w:t>
      </w:r>
    </w:p>
    <w:p>
      <w:r>
        <w:rPr>
          <w:rFonts w:ascii="Times New Roman" w:hAnsi="Times New Roman" w:eastAsia="宋体"/>
        </w:rPr>
        <w:t>直接NetCDF简化了标准文件外层</w:t>
      </w:r>
      <w:r>
        <w:rPr>
          <w:rFonts w:ascii="Consolas" w:hAnsi="Consolas" w:eastAsia="等线"/>
        </w:rPr>
        <w:t>tar.gz</w:t>
      </w:r>
      <w:r>
        <w:rPr>
          <w:rFonts w:ascii="Times New Roman" w:hAnsi="Times New Roman" w:eastAsia="宋体"/>
        </w:rPr>
        <w:t>的打包和解包步骤。ELEV和LAI已经采用NetCDF内部压缩，外层归档仅减少2.16%～6.43%的传输字节；直接NetCDF在两个独立环境中均缩短了缓存预热后的端到端时间，并将逻辑临时占用降低约一半。对于下载后立即读取的单体NetCDF，分发单元由此能够综合优化传输字节、解包开销和首次读取路径，为内部压缩产品提供更直接的数据访问方式。</w:t>
      </w:r>
    </w:p>
    <w:p>
      <w:r>
        <w:rPr>
          <w:rFonts w:ascii="Times New Roman" w:hAnsi="Times New Roman" w:eastAsia="宋体"/>
        </w:rPr>
        <w:t>直接NetCDF路径同时以显式完整性记录承接旧版artifact封装提供的内容约束。新版目录生成器从权威标准文件计算并记录</w:t>
      </w:r>
      <w:r>
        <w:rPr>
          <w:rFonts w:ascii="Consolas" w:hAnsi="Consolas" w:eastAsia="等线"/>
        </w:rPr>
        <w:t>SIZE</w:t>
      </w:r>
      <w:r>
        <w:rPr>
          <w:rFonts w:ascii="Times New Roman" w:hAnsi="Times New Roman" w:eastAsia="宋体"/>
        </w:rPr>
        <w:t>和SHA-256；每个镜像下载到独立临时文件，字节数和摘要与目录一致后进入正式路径。13类受控状态场景刻画回退、内容变化和缓存条件下的事务行为，真实Zenodo及校园网FTP—Zenodo记录表明代表性网络副本与目录登记内容一致。分发效率与事务式完整性机制由此共同构成新版分发架构的两项互补改进。</w:t>
      </w:r>
    </w:p>
    <w:p>
      <w:r>
        <w:rPr>
          <w:rFonts w:ascii="Times New Roman" w:hAnsi="Times New Roman" w:eastAsia="宋体"/>
        </w:rPr>
        <w:t>ERA5降水V1→V1_R1修订展示了独立目录的另一项作用：模型侧继续使用稳定逻辑标签，物理文件、URL及完整性摘要在目录层更新。目录记录与带修订后缀的文件共同保留版本关系，使数据修订与下游接口保持解耦，并由新的摘要锁定修订后的文件内容。</w:t>
      </w:r>
    </w:p>
    <w:p>
      <w:pPr>
        <w:pStyle w:val="Heading2"/>
      </w:pPr>
      <w:r>
        <w:rPr>
          <w:rFonts w:ascii="Times New Roman" w:hAnsi="Times New Roman" w:eastAsia="宋体"/>
        </w:rPr>
        <w:t>5.3 科学质量控制与内容完整性的协同</w:t>
      </w:r>
    </w:p>
    <w:p>
      <w:r>
        <w:rPr>
          <w:rFonts w:ascii="Times New Roman" w:hAnsi="Times New Roman" w:eastAsia="宋体"/>
        </w:rPr>
        <w:t>生产质量控制与分发完整性核验形成互补。数据生产与标准化层通过维度、坐标方向、变量、数值范围、Gapfill、空间方向图和独立参考等检查，确认标准数据符合声明的处理规则；数据目录与可信分发层通过文件字节数和SHA-256确认下载对象与目录登记的标准文件内容一致。源数据属性、处理规则、变量物理意义和量纲继续在数据生产与标准化层与模型输入组织层接受对应检查。OISST的逐点独立参考和ERA5降水单位修订体现了两类机制在数据生命周期中的协同作用。</w:t>
      </w:r>
    </w:p>
    <w:p>
      <w:r>
        <w:rPr>
          <w:rFonts w:ascii="Times New Roman" w:hAnsi="Times New Roman" w:eastAsia="宋体"/>
        </w:rPr>
        <w:t>本文以“可信分发”概括标准产品标识和内容完整性可核验的分发机制。多镜像提供获取路径冗余，候选顺序组织尝试过程，完整性元数据确保正式目录接收与登记产品一致的文件。校园网实验进一步呈现FTP与Zenodo等价副本在真实网络路径中的内容一致性。</w:t>
      </w:r>
    </w:p>
    <w:p>
      <w:pPr>
        <w:pStyle w:val="Heading2"/>
      </w:pPr>
      <w:r>
        <w:rPr>
          <w:rFonts w:ascii="Times New Roman" w:hAnsi="Times New Roman" w:eastAsia="宋体"/>
        </w:rPr>
        <w:t>5.4 从标准产品到模型输入：接口层面的“模型就绪”</w:t>
      </w:r>
    </w:p>
    <w:p>
      <w:r>
        <w:rPr>
          <w:rFonts w:ascii="Times New Roman" w:hAnsi="Times New Roman" w:eastAsia="宋体"/>
        </w:rPr>
        <w:t>标准化NetCDF是模型输入组织的起点。地球系统模型还需要把多个产品映射到共同格点，组合参数字段，建立时间轴，并衔接变量单位和模型接口所需的数据结构。US-NR1案例中，14类陆面产品形成34个模型字段，8类ERA5产品形成8784步逐时气象序列；模型输入组织层字段与底层NetCDF逐点一致，FDOY与独立时间公式一致，降水单位与模型水量换算相衔接。真实陆面参数和气象驱动随后完成Emerald初始化和60 s首步计算。</w:t>
      </w:r>
    </w:p>
    <w:p>
      <w:r>
        <w:rPr>
          <w:rFonts w:ascii="Times New Roman" w:hAnsi="Times New Roman" w:eastAsia="宋体"/>
        </w:rPr>
        <w:t>这些结果体现了模型就绪数据在字段组织、时间轴、量纲衔接和接口运行上的完整路径。本文将“模型就绪”定义为：标准产品经过格点索引、字段组织、时间轴构建和量纲衔接后，形成满足Emerald初始化接口的数据结构。以US-NR1年度案例为基础，相同接口可进一步服务多区域、多年份、不同生态区和长期模型积分。</w:t>
      </w:r>
    </w:p>
    <w:p>
      <w:pPr>
        <w:pStyle w:val="Heading2"/>
      </w:pPr>
      <w:r>
        <w:rPr>
          <w:rFonts w:ascii="Times New Roman" w:hAnsi="Times New Roman" w:eastAsia="宋体"/>
        </w:rPr>
        <w:t>5.5 跨操作系统运行一致性与相关基础设施定位</w:t>
      </w:r>
    </w:p>
    <w:p>
      <w:r>
        <w:rPr>
          <w:rFonts w:ascii="Times New Roman" w:hAnsi="Times New Roman" w:eastAsia="宋体"/>
        </w:rPr>
        <w:t>Windows、macOS和Linux持续集成呈现固定依赖条件下核心数据逻辑的跨操作系统一致性。持续集成覆盖确定性的生产、分发和接口路径，独立环境用于测量性能与镜像状态，真实网络及US-NR1案例呈现实际数据流。核心逻辑、实际性能和真实应用相互补充，形成从软件实现到地学产品及模型接口的分层复现体系。</w:t>
      </w:r>
    </w:p>
    <w:p>
      <w:r>
        <w:rPr>
          <w:rFonts w:ascii="Times New Roman" w:hAnsi="Times New Roman" w:eastAsia="宋体"/>
        </w:rPr>
        <w:t>从基础设施定位看，NetCDF/CF支持多维科学数据的表示与语义约定[2,5]，Earth Engine强调云端地理空间数据计算[3]，ESGF支撑分布式气候模式数据发现与访问[12]，Pangeo及Pangeo Forge侧重云优化数据和可复用生产配方[13-14]。国内地球系统科学数据共享研究同样强调目录体系与规范分类对跨团队复用的作用[15]；Pooch与STAC分别提供文件获取注册和广义地理空间资产描述[16-17]。FAIR4RS原则强调研究软件的持续演化和版本记录[18]，TRUST原则强调数字资源库的透明度与技术能力[19]，国家科学数据中心的FAIR实践进一步展示了标准化元数据和清晰使用信息的重要性[20]。GriddingMachine面向全球规则网格产品进入Julia模型工作流的应用场景，以稳定标签连接机构存储、公共镜像、离线缓存和模型输入，其特色是将上游生产契约、标准NetCDF、轻量目录、事务式多镜像获取和下游模型字段组织纳入同一生命周期。</w:t>
      </w:r>
    </w:p>
    <w:p>
      <w:pPr>
        <w:pStyle w:val="Heading2"/>
      </w:pPr>
      <w:r>
        <w:rPr>
          <w:rFonts w:ascii="Times New Roman" w:hAnsi="Times New Roman" w:eastAsia="宋体"/>
        </w:rPr>
        <w:t>5.6 扩展路径与应用前景</w:t>
      </w:r>
    </w:p>
    <w:p>
      <w:r>
        <w:rPr>
          <w:rFonts w:ascii="Times New Roman" w:hAnsi="Times New Roman" w:eastAsia="宋体"/>
        </w:rPr>
        <w:t>全球规则经纬网构成当前共享生产与读取契约，源适配器为非规则网格、区域投影和复杂坐标进入标准化流程提供扩展入口。围绕OISST、ELEV/LAI、代表性镜像和US-NR1形成的方法与案例，为继续扩展海洋、陆面和大气产品、多区域多年份模型应用及长期积分提供基础。随着公共镜像、完整性元数据、持久化归档和模型适配持续完善，GriddingMachine将进一步增强地球系统数据产品的开放共享、稳定获取和跨模型复用能力。</w:t>
      </w:r>
    </w:p>
    <w:p>
      <w:pPr>
        <w:pStyle w:val="Heading1"/>
      </w:pPr>
      <w:r>
        <w:rPr>
          <w:rFonts w:ascii="Times New Roman" w:hAnsi="Times New Roman" w:eastAsia="宋体"/>
        </w:rPr>
        <w:t>6 结论</w:t>
      </w:r>
    </w:p>
    <w:p>
      <w:r>
        <w:rPr>
          <w:rFonts w:ascii="Times New Roman" w:hAnsi="Times New Roman" w:eastAsia="宋体"/>
        </w:rPr>
        <w:t>本文在2022版GriddingMachine统一网格、标签访问和artifact数据管理基础上，形成由数据生产与标准化层、数据目录与可信分发层和模型输入组织层构成的可执行数据生命周期。新版以共享YAML配置规范和显式源维度映射描述异构源到标准NetCDF的生产契约，以独立目录、直接NetCDF、事务式获取和</w:t>
      </w:r>
      <w:r>
        <w:rPr>
          <w:rFonts w:ascii="Consolas" w:hAnsi="Consolas" w:eastAsia="等线"/>
        </w:rPr>
        <w:t>SIZE</w:t>
      </w:r>
      <w:r>
        <w:rPr>
          <w:rFonts w:ascii="Times New Roman" w:hAnsi="Times New Roman" w:eastAsia="宋体"/>
        </w:rPr>
        <w:t>/SHA-256核验维护稳定数据标识与内容完整性，并以统一读取、陆面参数融合和气象驱动组织连接标准数据与模型接口。</w:t>
      </w:r>
    </w:p>
    <w:p>
      <w:r>
        <w:rPr>
          <w:rFonts w:ascii="Times New Roman" w:hAnsi="Times New Roman" w:eastAsia="宋体"/>
        </w:rPr>
        <w:t>真实产品与分层实验为三个环节提供了对应证据。OISST V2.1产品从四维源结构生成1440×720标准海表温度产品，坐标、有效值掩膜和691 150个物理值与独立参考逐点一致。对于内部压缩的ELEV和LAI，直接NetCDF在环境A中将缓存预热后的端到端中位时间分别降低48.3%和82.9%，在环境B中分别降低53.6%和69.2%；校园网内4个代表性产品通过FTP与Zenodo完成24次内容一致的双镜像获取。US-NR1案例中，14类陆面产品与8类ERA5逐时产品形成参数和气象驱动，8个气象字段的8784个时间步与底层NetCDF逐点一致，并完成Emerald初始化和60 s首步计算。</w:t>
      </w:r>
    </w:p>
    <w:p>
      <w:r>
        <w:rPr>
          <w:rFonts w:ascii="Times New Roman" w:hAnsi="Times New Roman" w:eastAsia="宋体"/>
        </w:rPr>
        <w:t>这些结果表明，GriddingMachine能够把异构源数据生产、标准产品登记与内容完整性核验以及模型输入组织连接为连续数据路径。该框架为数据产品、分发目录和访问软件的独立维护建立统一接口，并为全球网格数据持续扩展、可靠获取和地球系统模型应用提供可复用的基础设施。</w:t>
      </w:r>
    </w:p>
    <w:p>
      <w:pPr>
        <w:pStyle w:val="Heading1"/>
      </w:pPr>
      <w:r>
        <w:rPr>
          <w:rFonts w:ascii="Times New Roman" w:hAnsi="Times New Roman" w:eastAsia="宋体"/>
        </w:rPr>
        <w:t>数据和代码可用性声明</w:t>
      </w:r>
    </w:p>
    <w:p>
      <w:r>
        <w:rPr>
          <w:rFonts w:ascii="Times New Roman" w:hAnsi="Times New Roman" w:eastAsia="宋体"/>
        </w:rPr>
        <w:t>GriddingMachine.jl源代码公开于https://github.com/CliMA/GriddingMachine.jl，数据生产代码公开于https://github.com/jhOo1/GriddingMachineDatasets，Emerald模型接口环境公开于https://github.com/jhOo1/Emerald-paper，论文补充材料、实验协议、脚本和结果公开于https://github.com/jhOo1/GriddingMachine_Reaserach。ERA5案例的逐文件大小与SHA-256、格点统计、时间轴核对和模型状态保存在</w:t>
      </w:r>
      <w:r>
        <w:rPr>
          <w:rFonts w:ascii="Consolas" w:hAnsi="Consolas" w:eastAsia="等线"/>
        </w:rPr>
        <w:t>experiment_data/03_09/real_era5_result.toml</w:t>
      </w:r>
      <w:r>
        <w:rPr>
          <w:rFonts w:ascii="Times New Roman" w:hAnsi="Times New Roman" w:eastAsia="宋体"/>
        </w:rPr>
        <w:t>；PPT修订文件以V1_R1后缀发布，逻辑标签保持V1，目录记录其文件大小、SHA-256和机构FTP地址。论文所对应的核心代码版本分别以</w:t>
      </w:r>
      <w:r>
        <w:rPr>
          <w:rFonts w:ascii="Consolas" w:hAnsi="Consolas" w:eastAsia="等线"/>
        </w:rPr>
        <w:t>griddingmachine-paper-2026-v1</w:t>
      </w:r>
      <w:r>
        <w:rPr>
          <w:rFonts w:ascii="Times New Roman" w:hAnsi="Times New Roman" w:eastAsia="宋体"/>
        </w:rPr>
        <w:t>、</w:t>
      </w:r>
      <w:r>
        <w:rPr>
          <w:rFonts w:ascii="Consolas" w:hAnsi="Consolas" w:eastAsia="等线"/>
        </w:rPr>
        <w:t>griddingmachine-datasets-paper-2026-v1</w:t>
      </w:r>
      <w:r>
        <w:rPr>
          <w:rFonts w:ascii="Times New Roman" w:hAnsi="Times New Roman" w:eastAsia="宋体"/>
        </w:rPr>
        <w:t>和</w:t>
      </w:r>
      <w:r>
        <w:rPr>
          <w:rFonts w:ascii="Consolas" w:hAnsi="Consolas" w:eastAsia="等线"/>
        </w:rPr>
        <w:t>emerald-paper-2026-v1</w:t>
      </w:r>
      <w:r>
        <w:rPr>
          <w:rFonts w:ascii="Times New Roman" w:hAnsi="Times New Roman" w:eastAsia="宋体"/>
        </w:rPr>
        <w:t>标签固定。研究材料的内容冻结提交、冻结分支及不可变稿件标签由</w:t>
      </w:r>
      <w:r>
        <w:rPr>
          <w:rFonts w:ascii="Consolas" w:hAnsi="Consolas" w:eastAsia="等线"/>
        </w:rPr>
        <w:t>论文/投稿版本锁定.toml</w:t>
      </w:r>
      <w:r>
        <w:rPr>
          <w:rFonts w:ascii="Times New Roman" w:hAnsi="Times New Roman" w:eastAsia="宋体"/>
        </w:rPr>
        <w:t>统一记录；永久归档与DOI信息随最终归档版本同步发布。</w:t>
      </w:r>
    </w:p>
    <w:p>
      <w:pPr>
        <w:pStyle w:val="Heading1"/>
      </w:pPr>
      <w:r>
        <w:rPr>
          <w:rFonts w:ascii="Times New Roman" w:hAnsi="Times New Roman" w:eastAsia="宋体"/>
        </w:rPr>
        <w:t>基金项目</w:t>
      </w:r>
    </w:p>
    <w:p>
      <w:r>
        <w:rPr>
          <w:rFonts w:ascii="Times New Roman" w:hAnsi="Times New Roman" w:eastAsia="宋体"/>
        </w:rPr>
        <w:t>【待作者和通讯作者补充基金项目中文/英文名称及编号；如无资助，按期刊要求声明。】</w:t>
      </w:r>
    </w:p>
    <w:p>
      <w:pPr>
        <w:pStyle w:val="Heading1"/>
      </w:pPr>
      <w:r>
        <w:rPr>
          <w:rFonts w:ascii="Times New Roman" w:hAnsi="Times New Roman" w:eastAsia="宋体"/>
        </w:rPr>
        <w:t>作者贡献</w:t>
      </w:r>
    </w:p>
    <w:p>
      <w:r>
        <w:rPr>
          <w:rFonts w:ascii="Times New Roman" w:hAnsi="Times New Roman" w:eastAsia="宋体"/>
        </w:rPr>
        <w:t>姜皓：概念设计、方法设计、软件、数据整理、可视化、初稿撰写。王玉杰：概念设计、研究指导、项目管理、论文审阅与修改。</w:t>
      </w:r>
    </w:p>
    <w:p>
      <w:pPr>
        <w:pStyle w:val="Heading1"/>
      </w:pPr>
      <w:r>
        <w:rPr>
          <w:rFonts w:ascii="Times New Roman" w:hAnsi="Times New Roman" w:eastAsia="宋体"/>
        </w:rPr>
        <w:t>利益冲突声明</w:t>
      </w:r>
    </w:p>
    <w:p>
      <w:r>
        <w:rPr>
          <w:rFonts w:ascii="Times New Roman" w:hAnsi="Times New Roman" w:eastAsia="宋体"/>
        </w:rPr>
        <w:t>作者声明不存在利益冲突。</w:t>
      </w:r>
    </w:p>
    <w:p>
      <w:pPr>
        <w:pStyle w:val="Heading1"/>
      </w:pPr>
      <w:r>
        <w:rPr>
          <w:rFonts w:ascii="Times New Roman" w:hAnsi="Times New Roman" w:eastAsia="宋体"/>
        </w:rPr>
        <w:t>AI 工具使用声明</w:t>
      </w:r>
    </w:p>
    <w:p>
      <w:r>
        <w:rPr>
          <w:rFonts w:ascii="Times New Roman" w:hAnsi="Times New Roman" w:eastAsia="宋体"/>
        </w:rPr>
        <w:t>本文准备过程中使用OpenAI Codex辅助整理研究材料与代码差异、检查论文结构、修订部分文字、审查分析脚本、汇总结果并辅助图件制作。研究目标、分析方法和结论由作者确定；作者核验软件版本、数据、文件摘要、图件数值和正文表述，并对研究设计、数据真实性、结果解释及全文承担责任。</w:t>
      </w:r>
    </w:p>
    <w:p>
      <w:pPr>
        <w:pStyle w:val="Heading1"/>
      </w:pPr>
      <w:r>
        <w:rPr>
          <w:rFonts w:ascii="Times New Roman" w:hAnsi="Times New Roman" w:eastAsia="宋体"/>
        </w:rPr>
        <w:t>参考文献</w:t>
      </w:r>
    </w:p>
    <w:p>
      <w:r>
        <w:rPr>
          <w:rFonts w:ascii="Times New Roman" w:hAnsi="Times New Roman" w:eastAsia="宋体"/>
        </w:rPr>
        <w:t>[1] WILKINSON M D, DUMONTIER M, AALBERSBERG I J, et al. The FAIR Guiding Principles for scientific data management and stewardship[J]. Scientific Data, 2016, 3: 160018. DOI: 10.1038/sdata.2016.18.</w:t>
      </w:r>
    </w:p>
    <w:p>
      <w:r>
        <w:rPr>
          <w:rFonts w:ascii="Times New Roman" w:hAnsi="Times New Roman" w:eastAsia="宋体"/>
        </w:rPr>
        <w:t>[2] CF CONVENTIONS COMMITTEE. CF Metadata Conventions[EB/OL]. [2026-08-07]. https://cfconventions.org/.</w:t>
      </w:r>
    </w:p>
    <w:p>
      <w:r>
        <w:rPr>
          <w:rFonts w:ascii="Times New Roman" w:hAnsi="Times New Roman" w:eastAsia="宋体"/>
        </w:rPr>
        <w:t>[3] GORELICK N, HANCHER M, DIXON M, et al. Google Earth Engine: Planetary-scale geospatial analysis for everyone[J]. Remote Sensing of Environment, 2017, 202: 18-27. DOI: 10.1016/j.rse.2017.06.031.</w:t>
      </w:r>
    </w:p>
    <w:p>
      <w:r>
        <w:rPr>
          <w:rFonts w:ascii="Times New Roman" w:hAnsi="Times New Roman" w:eastAsia="宋体"/>
        </w:rPr>
        <w:t>[4] WANG Y, KÖHLER P, BRAGHIERE R K, et al. GriddingMachine, a database and software for Earth system modeling at global and regional scales[J]. Scientific Data, 2022, 9: 258. DOI: 10.1038/s41597-022-01346-x.</w:t>
      </w:r>
    </w:p>
    <w:p>
      <w:r>
        <w:rPr>
          <w:rFonts w:ascii="Times New Roman" w:hAnsi="Times New Roman" w:eastAsia="宋体"/>
        </w:rPr>
        <w:t>[5] REW R, DAVIS G. NetCDF: An interface for scientific data access[J]. IEEE Computer Graphics and Applications, 1990, 10(4): 76-82. DOI: 10.1109/38.56302.</w:t>
      </w:r>
    </w:p>
    <w:p>
      <w:r>
        <w:rPr>
          <w:rFonts w:ascii="Times New Roman" w:hAnsi="Times New Roman" w:eastAsia="宋体"/>
        </w:rPr>
        <w:t>[6] MAHECHA M D, GANS F, BRANDT G, et al. Earth system data cubes unravel global multivariate dynamics[J]. Earth System Dynamics, 2020, 11: 201-234. DOI: 10.5194/esd-11-201-2020.</w:t>
      </w:r>
    </w:p>
    <w:p>
      <w:r>
        <w:rPr>
          <w:rFonts w:ascii="Times New Roman" w:hAnsi="Times New Roman" w:eastAsia="宋体"/>
        </w:rPr>
        <w:t>[7] BEZANSON J, EDELMAN A, KARPINSKI S, et al. Julia: A fresh approach to numerical computing[J]. SIAM Review, 2017, 59(1): 65-98. DOI: 10.1137/141000671.</w:t>
      </w:r>
    </w:p>
    <w:p>
      <w:r>
        <w:rPr>
          <w:rFonts w:ascii="Times New Roman" w:hAnsi="Times New Roman" w:eastAsia="宋体"/>
        </w:rPr>
        <w:t>[8] SMITH A M, KATZ D S, NIEMEYER K E, et al. Software citation principles[J]. PeerJ Computer Science, 2016, 2: e86. DOI: 10.7717/peerj-cs.86.</w:t>
      </w:r>
    </w:p>
    <w:p>
      <w:r>
        <w:rPr>
          <w:rFonts w:ascii="Times New Roman" w:hAnsi="Times New Roman" w:eastAsia="宋体"/>
        </w:rPr>
        <w:t>[9] HUANG B, LIU C, BANZON V, et al. Improvements of the Daily Optimum Interpolation Sea Surface Temperature (DOISST) Version 2.1[J]. Journal of Climate, 2021, 34(8): 2923-2939. DOI: 10.1175/JCLI-D-20-0166.1.</w:t>
      </w:r>
    </w:p>
    <w:p>
      <w:r>
        <w:rPr>
          <w:rFonts w:ascii="Times New Roman" w:hAnsi="Times New Roman" w:eastAsia="宋体"/>
        </w:rPr>
        <w:t>[10] HERSBACH H, BELL B, BERRISFORD P, et al. The ERA5 global reanalysis[J]. Quarterly Journal of the Royal Meteorological Society, 2020, 146(730): 1999-2049. DOI: 10.1002/qj.3803.</w:t>
      </w:r>
    </w:p>
    <w:p>
      <w:r>
        <w:rPr>
          <w:rFonts w:ascii="Times New Roman" w:hAnsi="Times New Roman" w:eastAsia="宋体"/>
        </w:rPr>
        <w:t>[11] COPERNICUS CLIMATE CHANGE SERVICE. Conversion table for accumulated variables (total precipitation/fluxes): ERA5 reanalysis hourly data[EB/OL]. https://confluence.ecmwf.int/pages/viewpage.action?pageId=216478200.</w:t>
      </w:r>
    </w:p>
    <w:p>
      <w:r>
        <w:rPr>
          <w:rFonts w:ascii="Times New Roman" w:hAnsi="Times New Roman" w:eastAsia="宋体"/>
        </w:rPr>
        <w:t>[12]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宋体"/>
        </w:rPr>
        <w:t>[13] ABERNATHEY R P, AUGSPURGER T, BANIHIRWE A, et al. Cloud-native repositories for big scientific data[J]. Computing in Science &amp; Engineering, 2021, 23(2): 26-35. DOI: 10.1109/MCSE.2021.3059437.</w:t>
      </w:r>
    </w:p>
    <w:p>
      <w:r>
        <w:rPr>
          <w:rFonts w:ascii="Times New Roman" w:hAnsi="Times New Roman" w:eastAsia="宋体"/>
        </w:rPr>
        <w:t>[14] STERN C, ABERNATHEY R, HAMMAN J, et al. Pangeo Forge: Crowdsourcing analysis-ready, cloud optimized data production[J]. Frontiers in Climate, 2022, 3: 782909. DOI: 10.3389/fclim.2021.782909.</w:t>
      </w:r>
    </w:p>
    <w:p>
      <w:r>
        <w:rPr>
          <w:rFonts w:ascii="Times New Roman" w:hAnsi="Times New Roman" w:eastAsia="宋体"/>
        </w:rPr>
        <w:t>[15] 王卷乐, 林海, 冉盈盈, 等. 面向数据共享的地球系统科学数据分类探讨[J]. 地球科学进展, 2014, 29(2): 265-274. [WANG Juanle, LIN Hai, RAN Yingying, et al. A study of Earth System Science data classification for data sharing[J]. Advances in Earth Science, 2014, 29(2): 265-274.]</w:t>
      </w:r>
    </w:p>
    <w:p>
      <w:r>
        <w:rPr>
          <w:rFonts w:ascii="Times New Roman" w:hAnsi="Times New Roman" w:eastAsia="宋体"/>
        </w:rPr>
        <w:t>[16] UIEDA L, SOLER S R, RAMPIN R, et al. Pooch: A friend to fetch your data files[J]. Journal of Open Source Software, 2020, 5(45): 1943. DOI: 10.21105/joss.01943.</w:t>
      </w:r>
    </w:p>
    <w:p>
      <w:r>
        <w:rPr>
          <w:rFonts w:ascii="Times New Roman" w:hAnsi="Times New Roman" w:eastAsia="宋体"/>
        </w:rPr>
        <w:t>[17] OPEN GEOSPATIAL CONSORTIUM. SpatioTemporal Asset Catalog (STAC) Community Standard, Version 1.1.0[S/OL]. OGC 25-004, 2025[2026-08-15]. https://www.ogc.org/standards/stac/.</w:t>
      </w:r>
    </w:p>
    <w:p>
      <w:r>
        <w:rPr>
          <w:rFonts w:ascii="Times New Roman" w:hAnsi="Times New Roman" w:eastAsia="宋体"/>
        </w:rPr>
        <w:t>[18] BARKER M, CHUE HONG N P, KATZ D S, et al. Introducing the FAIR Principles for research software[J]. Scientific Data, 2022, 9: 622. DOI: 10.1038/s41597-022-01710-x.</w:t>
      </w:r>
    </w:p>
    <w:p>
      <w:r>
        <w:rPr>
          <w:rFonts w:ascii="Times New Roman" w:hAnsi="Times New Roman" w:eastAsia="宋体"/>
        </w:rPr>
        <w:t>[19] LIN D, CRABTREE J, DILLO I, et al. The TRUST Principles for digital repositories[J]. Scientific Data, 2020, 7: 144. DOI: 10.1038/s41597-020-0486-7.</w:t>
      </w:r>
    </w:p>
    <w:p>
      <w:r>
        <w:rPr>
          <w:rFonts w:ascii="Times New Roman" w:hAnsi="Times New Roman" w:eastAsia="宋体"/>
        </w:rPr>
        <w:t>[20] 李楠楠, 刘筱敏. 我国国家科学数据中心FAIR原则的实践现状调查与分析[J]. 图书与情报, 2023, 43(2): 137-144. DOI: 10.11968/tsyqb.1003-6938.2023032. [LI Nannan, LIU Xiaomin. Survey and analysis on the practice of FAIR principle in National Science Data Center of China[J]. Library and Information, 2023, 43(2): 137-144.]</w:t>
      </w:r>
    </w:p>
    <w:sectPr w:rsidR="00FC693F" w:rsidRPr="0006063C" w:rsidSect="00034616">
      <w:pgSz w:w="11906" w:h="16838"/>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黑体"/>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黑体"/>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黑体"/>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ind w:firstLine="0"/>
      <w:contextualSpacing/>
    </w:pPr>
    <w:rPr>
      <w:rFonts w:asciiTheme="majorHAnsi" w:eastAsiaTheme="majorEastAsia" w:hAnsiTheme="majorHAnsi" w:cstheme="majorBidi" w:ascii="Times New Roman" w:hAnsi="Times New Roman" w:eastAsia="黑体"/>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面向地球系统模型的全球网格数据生命周期：GriddingMachine框架更新与应用</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