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面向地球系统模式的全球网格数据库：GriddingMachine框架更新与应用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通过统一方式处理、获取和调用网格数据，减少不同地球系统模式重复整理和维护数据的工作，为科学研究与应用提供便利。</w:t>
      </w:r>
    </w:p>
    <w:p>
      <w:r>
        <w:rPr>
          <w:rFonts w:ascii="Times New Roman" w:hAnsi="Times New Roman" w:eastAsia="宋体"/>
          <w:b/>
        </w:rPr>
        <w:t>关键词：</w:t>
      </w:r>
      <w:r>
        <w:rPr>
          <w:rFonts w:ascii="Times New Roman" w:hAnsi="Times New Roman" w:eastAsia="宋体"/>
        </w:rPr>
        <w:t xml:space="preserve"> 地球系统模式；全球网格数据库；数据标准化；NetCDF；数据完整性；模式输入</w:t>
      </w:r>
    </w:p>
    <w:p>
      <w:r>
        <w:rPr>
          <w:rFonts w:ascii="Times New Roman" w:hAnsi="Times New Roman" w:eastAsia="宋体"/>
          <w:b/>
        </w:rPr>
        <w:t>A Global Gridded Database for Earth System Models: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Earth system models rely on gridded data at regional to global scales for parameter initialization and evaluation of simulation results. Although most datasets are available in standard formats such as NetCDF, HDF, or GeoTIFF, differences in source-processing rules, unit conversion, data identification, and distribution methods require each model to maintain its own database, creating unnecessary difficulties for continued model development and evaluation. Building on the 2022 release of GriddingMachine, this study improves data preprocessing, distribution, and data reading. Shared YAML configurations describe source data structures and transformation rules; an independent catalog manages standardized-data tags, mirrors, and integrity metadata; and unified interfaces organize land parameters and meteorological forcing. In addition to Julia, we have adapted automatic downloading of the updated data for MATLAB, Octave, Python, and R, and added automatic data-retrieval entry points for C and Fortran. These updates enable researchers to process, retrieve, and access gridded data through a consistent workflow, reducing repeated data preparation and maintenance across Earth system models and facilitating scientific research and applications.</w:t>
      </w:r>
    </w:p>
    <w:p>
      <w:r>
        <w:rPr>
          <w:rFonts w:ascii="Times New Roman" w:hAnsi="Times New Roman" w:eastAsia="宋体"/>
          <w:b/>
        </w:rPr>
        <w:t>Keywords:</w:t>
      </w:r>
      <w:r>
        <w:rPr>
          <w:rFonts w:ascii="Times New Roman" w:hAnsi="Times New Roman" w:eastAsia="宋体"/>
        </w:rPr>
        <w:t xml:space="preserve"> Earth system models; global gridded database; data standardization; NetCDF; data integrity; model input</w:t>
      </w:r>
    </w:p>
    <w:p>
      <w:pPr>
        <w:pStyle w:val="Heading1"/>
      </w:pPr>
      <w:r>
        <w:rPr>
          <w:rFonts w:ascii="Times New Roman" w:hAnsi="Times New Roman" w:eastAsia="宋体"/>
        </w:rPr>
        <w:t>1 引言</w:t>
      </w:r>
    </w:p>
    <w:p>
      <w:r>
        <w:rPr>
          <w:rFonts w:ascii="Times New Roman" w:hAnsi="Times New Roman" w:eastAsia="宋体"/>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宋体"/>
          <w:b/>
        </w:rPr>
        <w:t>F</w:t>
      </w:r>
      <w:r>
        <w:rPr>
          <w:rFonts w:ascii="Times New Roman" w:hAnsi="Times New Roman" w:eastAsia="宋体"/>
        </w:rPr>
        <w:t>indable）、可获取（</w:t>
      </w:r>
      <w:r>
        <w:rPr>
          <w:rFonts w:ascii="Times New Roman" w:hAnsi="Times New Roman" w:eastAsia="宋体"/>
          <w:b/>
        </w:rPr>
        <w:t>A</w:t>
      </w:r>
      <w:r>
        <w:rPr>
          <w:rFonts w:ascii="Times New Roman" w:hAnsi="Times New Roman" w:eastAsia="宋体"/>
        </w:rPr>
        <w:t>ccessible）、可互操作（</w:t>
      </w:r>
      <w:r>
        <w:rPr>
          <w:rFonts w:ascii="Times New Roman" w:hAnsi="Times New Roman" w:eastAsia="宋体"/>
          <w:b/>
        </w:rPr>
        <w:t>I</w:t>
      </w:r>
      <w:r>
        <w:rPr>
          <w:rFonts w:ascii="Times New Roman" w:hAnsi="Times New Roman" w:eastAsia="宋体"/>
        </w:rPr>
        <w:t>nteroperable）和可复用（</w:t>
      </w:r>
      <w:r>
        <w:rPr>
          <w:rFonts w:ascii="Times New Roman" w:hAnsi="Times New Roman" w:eastAsia="宋体"/>
          <w:b/>
        </w:rPr>
        <w:t>R</w:t>
      </w:r>
      <w:r>
        <w:rPr>
          <w:rFonts w:ascii="Times New Roman" w:hAnsi="Times New Roman" w:eastAsia="宋体"/>
        </w:rPr>
        <w:t>eusable）的FAIR（Findable, Accessible, Interoperable, Reusable）原则[1]。NetCDF具有自描述、跨系统和适合多维数组等特点，CF元数据约定进一步通过坐标、物理量、单位和时空属性促进不同数据源之间的解释与处理[2]。Google Earth Engine等云平台通过改善数据表达、发现、访问及计算，显著提升了大尺度遥感数据的访问和分析能力[3]。然而，对于面向固定版本、离线缓存和模式直接调用的工作流，研究人员仍需要把数据转换规则、标准产品标识、网络获取内容和下游模式接口连接起来，因此一个适用于本地运行的标准化数据库是非常必要的。</w:t>
      </w:r>
    </w:p>
    <w:p>
      <w:r>
        <w:rPr>
          <w:rFonts w:ascii="Times New Roman" w:hAnsi="Times New Roman" w:eastAsia="宋体"/>
        </w:rPr>
        <w:t>Wang等[4]于2022年发布了基于Julia语言的GriddingMachine数据库，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其数据预处理脚本、分发归档和目录维护仍主要围绕当时的数据组织方式展开。随着数据类型和模式应用链条扩展，有必要进一步统一数据生产、目录维护、数据获取和模式输入组织。</w:t>
      </w:r>
    </w:p>
    <w:p>
      <w:r>
        <w:rPr>
          <w:rFonts w:ascii="Times New Roman" w:hAnsi="Times New Roman" w:eastAsia="宋体"/>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NetCDF保持衔接。</w:t>
      </w:r>
    </w:p>
    <w:p>
      <w:r>
        <w:rPr>
          <w:rFonts w:ascii="Times New Roman" w:hAnsi="Times New Roman" w:eastAsia="宋体"/>
        </w:rPr>
        <w:t>本文在2022版GriddingMachine基础上，更新数据预处理、数据分发和数据读取流程，形成数据生产与标准化、数据目录与获取、模式输入组织三个相互衔接的环节。研究通过受控配置和维度变换实例、OISST V2.1标准化、ELEV与LAI分发效率比较、FTP—Zenodo镜像获取以及US-NR1模式输入案例，评价新版框架的数据一致性、可执行性和接口适配能力；同时适配MATLAB、Octave、Python和R对新版数据的自动获取，并新增C和Fortran的自动获取入口。</w:t>
      </w:r>
    </w:p>
    <w:p>
      <w:r>
        <w:rPr>
          <w:rFonts w:ascii="Times New Roman" w:hAnsi="Times New Roman" w:eastAsia="宋体"/>
        </w:rPr>
        <w:t>围绕这一问题，新版GriddingMachine形成三个相互衔接的功能层。第一，数据生产与标准化层以共享YAML配置规范表达源维度、坐标、数值变换、Gapfill和质量控制，使异构源到标准NetCDF的转换规则成为可执行生产契约。第二，数据目录与可信分发层将数据目录与访问软件解耦，以逻辑标签连接发布副本，并通过直接NetCDF与事务式获取组织下载路径；对于登记了文件字节数和SHA-256的条目，获取流程进一步执行严格内容核验以维护稳定产品标识。第三，模式输入组织层以稳定标签连接统一读取、陆面参数融合和气象驱动组织，使标准化数据形成满足模式接口要求的数据结构。三层共同构成“异构数据生产—产品登记与完整性核验—模式输入组织”的连续路径。</w:t>
      </w:r>
    </w:p>
    <w:p>
      <w:r>
        <w:rPr>
          <w:rFonts w:ascii="Times New Roman" w:hAnsi="Times New Roman" w:eastAsia="宋体"/>
        </w:rPr>
        <w:t>本文采用受控实例与真实地学数据分层评价上述路径：以31组生产实例和OISST V2.1数据转换[9]检验标准化规则及真实异构源适配；以ELEV和LAI比较直接NetCDF与外层</w:t>
      </w:r>
      <w:r>
        <w:rPr>
          <w:rFonts w:ascii="Consolas" w:hAnsi="Consolas" w:eastAsia="等线"/>
        </w:rPr>
        <w:t>tar.gz</w:t>
      </w:r>
      <w:r>
        <w:rPr>
          <w:rFonts w:ascii="Times New Roman" w:hAnsi="Times New Roman" w:eastAsia="宋体"/>
        </w:rPr>
        <w:t>的分发路径，并结合13类受控状态场景及FTP—Zenodo同文件获取检验事务式多镜像机制；以14类陆面数据和8类ERA5逐时数据[10]构成的US-NR1案例检验标准NetCDF到模式输入组织的接口链路。跨操作系统持续集成作为横向验证，用于检查固定依赖条件下核心实现的运行一致性。</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等线"/>
        </w:rPr>
        <w:t>GriddingMachine.jl</w:t>
      </w:r>
      <w:r>
        <w:rPr>
          <w:rFonts w:ascii="Times New Roman" w:hAnsi="Times New Roman" w:eastAsia="宋体"/>
        </w:rPr>
        <w:t>软件包版本更新；模式输入组织层负责数据发现、获取、读取以及陆面参数和气象驱动组织。数据生产与标准化层主要由</w:t>
      </w:r>
      <w:r>
        <w:rPr>
          <w:rFonts w:ascii="Consolas" w:hAnsi="Consolas" w:eastAsia="等线"/>
        </w:rPr>
        <w:t>GriddingMachineDatasets</w:t>
      </w:r>
      <w:r>
        <w:rPr>
          <w:rFonts w:ascii="Times New Roman" w:hAnsi="Times New Roman" w:eastAsia="宋体"/>
        </w:rPr>
        <w:t>承担，数据目录与可信分发层及模式输入组织层主要由</w:t>
      </w:r>
      <w:r>
        <w:rPr>
          <w:rFonts w:ascii="Consolas" w:hAnsi="Consolas" w:eastAsia="等线"/>
        </w:rPr>
        <w:t>GriddingMachine.jl</w:t>
      </w:r>
      <w:r>
        <w:rPr>
          <w:rFonts w:ascii="Times New Roman" w:hAnsi="Times New Roman" w:eastAsia="宋体"/>
        </w:rPr>
        <w:t>承担。三层共同形成“生产—质控—发布—发现—下载—读取—模型调用”的数据生命周期，其中各层通过标准NetCDF和稳定标签衔接，同时保留独立演化的维护边界。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GriddingMachine从2022版基线到新版数据生命周期的架构更新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型调用；（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data lifecycle.</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数据生产与标准化层，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数据。维度、坐标、数值和空间方向检查嵌入生产流程，使标准数据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和镜像地址，并可为新登记或需要严格完整性管理的条目记录文件字节数和SHA-256；目录生成过程从权威标准文件计算相应完整性元数据并以事务方式写入YAML。目录与访问软件分开维护，支持数据产品列表及其分发位置独立更新。</w:t>
      </w:r>
    </w:p>
    <w:p>
      <w:r>
        <w:rPr>
          <w:rFonts w:ascii="Times New Roman" w:hAnsi="Times New Roman" w:eastAsia="宋体"/>
        </w:rPr>
        <w:t>在数据目录与可信分发层，目录管理模块显式设置数据根目录与目录来源。目录更新经临时文件完成配置规范校验和事务式替换，并保留上一有效版本。数据获取模块提取各镜像地址的主机名，以可获得的平均往返延迟辅助确定候选顺序，同时保留全部镜像并依次回退。每次传输创建独立临时文件。对于登记了</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的条目，文件通过字节数和摘要核验后进入正式数据目录；历史条目由兼容模式保持标签访问。本文将版本化目录、内容一致的镜像、事务式落盘和内容完整性校验共同构成的获取机制定义为“可信分发”。</w:t>
      </w:r>
    </w:p>
    <w:p>
      <w:r>
        <w:rPr>
          <w:rFonts w:ascii="Times New Roman" w:hAnsi="Times New Roman" w:eastAsia="宋体"/>
        </w:rPr>
        <w:t>模式输入组织层提供标签驱动的整场、指定周期及站点读取，并进一步完成格点尺度陆面参数融合与气象驱动组织。由14类产品组成的第二套陆面参数集合（代码标识为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）贯通参数组织链路并进入Emerald初始化。本文所称“模型就绪”指标准产品经过格点索引、字段组织、时间轴构建和量纲衔接后形成满足Emerald初始化与首步运行的数据结构。</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环节</w:t>
            </w:r>
          </w:p>
        </w:tc>
        <w:tc>
          <w:tcPr>
            <w:tcW w:type="dxa" w:w="2211"/>
            <w:shd w:fill="D9EAF7"/>
          </w:tcPr>
          <w:p>
            <w:r>
              <w:rPr>
                <w:b/>
                <w:sz w:val="18"/>
              </w:rPr>
            </w:r>
            <w:r>
              <w:rPr>
                <w:rFonts w:ascii="Times New Roman" w:hAnsi="Times New Roman" w:eastAsia="宋体"/>
                <w:b/>
                <w:sz w:val="18"/>
              </w:rPr>
              <w:t>2022版</w:t>
            </w:r>
          </w:p>
        </w:tc>
        <w:tc>
          <w:tcPr>
            <w:tcW w:type="dxa" w:w="2211"/>
            <w:shd w:fill="D9EAF7"/>
          </w:tcPr>
          <w:p>
            <w:r>
              <w:rPr>
                <w:b/>
                <w:sz w:val="18"/>
              </w:rPr>
            </w:r>
            <w:r>
              <w:rPr>
                <w:rFonts w:ascii="Times New Roman" w:hAnsi="Times New Roman" w:eastAsia="宋体"/>
                <w:b/>
                <w:sz w:val="18"/>
              </w:rPr>
              <w:t>新版</w:t>
            </w:r>
          </w:p>
        </w:tc>
        <w:tc>
          <w:tcPr>
            <w:tcW w:type="dxa" w:w="2211"/>
            <w:shd w:fill="D9EAF7"/>
          </w:tcPr>
          <w:p>
            <w:r>
              <w:rPr>
                <w:b/>
                <w:sz w:val="18"/>
              </w:rPr>
            </w:r>
            <w:r>
              <w:rPr>
                <w:rFonts w:ascii="Times New Roman" w:hAnsi="Times New Roman" w:eastAsia="宋体"/>
                <w:b/>
                <w:sz w:val="18"/>
              </w:rPr>
              <w:t>应用价值</w:t>
            </w:r>
          </w:p>
        </w:tc>
      </w:tr>
      <w:tr>
        <w:tc>
          <w:tcPr>
            <w:tcW w:type="dxa" w:w="2211"/>
          </w:tcPr>
          <w:p>
            <w:r>
              <w:rPr>
                <w:sz w:val="18"/>
              </w:rPr>
            </w:r>
            <w:r>
              <w:rPr>
                <w:rFonts w:ascii="Times New Roman" w:hAnsi="Times New Roman" w:eastAsia="宋体"/>
                <w:sz w:val="18"/>
              </w:rPr>
              <w:t>分发单元</w:t>
            </w:r>
          </w:p>
        </w:tc>
        <w:tc>
          <w:tcPr>
            <w:tcW w:type="dxa" w:w="2211"/>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11"/>
          </w:tcPr>
          <w:p>
            <w:r>
              <w:rPr>
                <w:sz w:val="18"/>
              </w:rPr>
            </w:r>
            <w:r>
              <w:rPr>
                <w:rFonts w:ascii="Times New Roman" w:hAnsi="Times New Roman" w:eastAsia="宋体"/>
                <w:sz w:val="18"/>
              </w:rPr>
              <w:t>可直接读取的</w:t>
            </w:r>
            <w:r>
              <w:rPr>
                <w:rFonts w:ascii="Consolas" w:hAnsi="Consolas" w:eastAsia="等线"/>
                <w:sz w:val="18"/>
              </w:rPr>
              <w:t>.nc</w:t>
            </w:r>
          </w:p>
        </w:tc>
        <w:tc>
          <w:tcPr>
            <w:tcW w:type="dxa" w:w="2211"/>
          </w:tcPr>
          <w:p>
            <w:r>
              <w:rPr>
                <w:sz w:val="18"/>
              </w:rPr>
            </w:r>
            <w:r>
              <w:rPr>
                <w:rFonts w:ascii="Times New Roman" w:hAnsi="Times New Roman" w:eastAsia="宋体"/>
                <w:sz w:val="18"/>
              </w:rPr>
              <w:t>简化数据获取并降低端到端读取时间</w:t>
            </w:r>
          </w:p>
        </w:tc>
      </w:tr>
      <w:tr>
        <w:tc>
          <w:tcPr>
            <w:tcW w:type="dxa" w:w="2211"/>
          </w:tcPr>
          <w:p>
            <w:r>
              <w:rPr>
                <w:sz w:val="18"/>
              </w:rPr>
            </w:r>
            <w:r>
              <w:rPr>
                <w:rFonts w:ascii="Times New Roman" w:hAnsi="Times New Roman" w:eastAsia="宋体"/>
                <w:sz w:val="18"/>
              </w:rPr>
              <w:t>数据目录</w:t>
            </w:r>
          </w:p>
        </w:tc>
        <w:tc>
          <w:tcPr>
            <w:tcW w:type="dxa" w:w="2211"/>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11"/>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11"/>
          </w:tcPr>
          <w:p>
            <w:r>
              <w:rPr>
                <w:sz w:val="18"/>
              </w:rPr>
            </w:r>
            <w:r>
              <w:rPr>
                <w:rFonts w:ascii="Times New Roman" w:hAnsi="Times New Roman" w:eastAsia="宋体"/>
                <w:sz w:val="18"/>
              </w:rPr>
              <w:t>数据产品可独立于软件版本持续扩展</w:t>
            </w:r>
          </w:p>
        </w:tc>
      </w:tr>
      <w:tr>
        <w:tc>
          <w:tcPr>
            <w:tcW w:type="dxa" w:w="2211"/>
          </w:tcPr>
          <w:p>
            <w:r>
              <w:rPr>
                <w:sz w:val="18"/>
              </w:rPr>
            </w:r>
            <w:r>
              <w:rPr>
                <w:rFonts w:ascii="Times New Roman" w:hAnsi="Times New Roman" w:eastAsia="宋体"/>
                <w:sz w:val="18"/>
              </w:rPr>
              <w:t>下载</w:t>
            </w:r>
          </w:p>
        </w:tc>
        <w:tc>
          <w:tcPr>
            <w:tcW w:type="dxa" w:w="2211"/>
          </w:tcPr>
          <w:p>
            <w:r>
              <w:rPr>
                <w:sz w:val="18"/>
              </w:rPr>
            </w:r>
            <w:r>
              <w:rPr>
                <w:rFonts w:ascii="Times New Roman" w:hAnsi="Times New Roman" w:eastAsia="宋体"/>
                <w:sz w:val="18"/>
              </w:rPr>
              <w:t>artifact哈希寻址、多个URL和解包</w:t>
            </w:r>
          </w:p>
        </w:tc>
        <w:tc>
          <w:tcPr>
            <w:tcW w:type="dxa" w:w="2211"/>
          </w:tcPr>
          <w:p>
            <w:r>
              <w:rPr>
                <w:sz w:val="18"/>
              </w:rPr>
            </w:r>
            <w:r>
              <w:rPr>
                <w:rFonts w:ascii="Times New Roman" w:hAnsi="Times New Roman" w:eastAsia="宋体"/>
                <w:sz w:val="18"/>
              </w:rPr>
              <w:t>延迟信号辅助排序；多URL回退、独立临时文件；带</w:t>
            </w:r>
            <w:r>
              <w:rPr>
                <w:rFonts w:ascii="Consolas" w:hAnsi="Consolas" w:eastAsia="等线"/>
                <w:sz w:val="18"/>
              </w:rPr>
              <w:t>SIZE</w:t>
            </w:r>
            <w:r>
              <w:rPr>
                <w:rFonts w:ascii="Times New Roman" w:hAnsi="Times New Roman" w:eastAsia="宋体"/>
                <w:sz w:val="18"/>
              </w:rPr>
              <w:t>/</w:t>
            </w:r>
            <w:r>
              <w:rPr>
                <w:rFonts w:ascii="Consolas" w:hAnsi="Consolas" w:eastAsia="等线"/>
                <w:sz w:val="18"/>
              </w:rPr>
              <w:t>SHA256</w:t>
            </w:r>
            <w:r>
              <w:rPr>
                <w:rFonts w:ascii="Times New Roman" w:hAnsi="Times New Roman" w:eastAsia="宋体"/>
                <w:sz w:val="18"/>
              </w:rPr>
              <w:t>条目可执行严格核验后落盘</w:t>
            </w:r>
          </w:p>
        </w:tc>
        <w:tc>
          <w:tcPr>
            <w:tcW w:type="dxa" w:w="2211"/>
          </w:tcPr>
          <w:p>
            <w:r>
              <w:rPr>
                <w:sz w:val="18"/>
              </w:rPr>
            </w:r>
            <w:r>
              <w:rPr>
                <w:rFonts w:ascii="Times New Roman" w:hAnsi="Times New Roman" w:eastAsia="宋体"/>
                <w:sz w:val="18"/>
              </w:rPr>
              <w:t>将镜像选择与内容完整性判定分离，支持历史目录平滑迁移</w:t>
            </w:r>
          </w:p>
        </w:tc>
      </w:tr>
      <w:tr>
        <w:tc>
          <w:tcPr>
            <w:tcW w:type="dxa" w:w="2211"/>
          </w:tcPr>
          <w:p>
            <w:r>
              <w:rPr>
                <w:sz w:val="18"/>
              </w:rPr>
            </w:r>
            <w:r>
              <w:rPr>
                <w:rFonts w:ascii="Times New Roman" w:hAnsi="Times New Roman" w:eastAsia="宋体"/>
                <w:sz w:val="18"/>
              </w:rPr>
              <w:t>读取</w:t>
            </w:r>
          </w:p>
        </w:tc>
        <w:tc>
          <w:tcPr>
            <w:tcW w:type="dxa" w:w="2211"/>
          </w:tcPr>
          <w:p>
            <w:r>
              <w:rPr>
                <w:sz w:val="18"/>
              </w:rPr>
            </w:r>
            <w:r>
              <w:rPr>
                <w:rFonts w:ascii="Consolas" w:hAnsi="Consolas" w:eastAsia="等线"/>
                <w:sz w:val="18"/>
              </w:rPr>
              <w:t>read_LUT</w:t>
            </w:r>
          </w:p>
        </w:tc>
        <w:tc>
          <w:tcPr>
            <w:tcW w:type="dxa" w:w="2211"/>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11"/>
          </w:tcPr>
          <w:p>
            <w:r>
              <w:rPr>
                <w:sz w:val="18"/>
              </w:rPr>
            </w:r>
            <w:r>
              <w:rPr>
                <w:rFonts w:ascii="Times New Roman" w:hAnsi="Times New Roman" w:eastAsia="宋体"/>
                <w:sz w:val="18"/>
              </w:rPr>
              <w:t>全球规则经纬网整场、周期和站点读取</w:t>
            </w:r>
          </w:p>
        </w:tc>
      </w:tr>
      <w:tr>
        <w:tc>
          <w:tcPr>
            <w:tcW w:type="dxa" w:w="2211"/>
          </w:tcPr>
          <w:p>
            <w:r>
              <w:rPr>
                <w:sz w:val="18"/>
              </w:rPr>
            </w:r>
            <w:r>
              <w:rPr>
                <w:rFonts w:ascii="Times New Roman" w:hAnsi="Times New Roman" w:eastAsia="宋体"/>
                <w:sz w:val="18"/>
              </w:rPr>
              <w:t>模型组织</w:t>
            </w:r>
          </w:p>
        </w:tc>
        <w:tc>
          <w:tcPr>
            <w:tcW w:type="dxa" w:w="2211"/>
          </w:tcPr>
          <w:p>
            <w:r>
              <w:rPr>
                <w:sz w:val="18"/>
              </w:rPr>
            </w:r>
            <w:r>
              <w:rPr>
                <w:rFonts w:ascii="Times New Roman" w:hAnsi="Times New Roman" w:eastAsia="宋体"/>
                <w:sz w:val="18"/>
              </w:rPr>
              <w:t>标准化数据和通用读取</w:t>
            </w:r>
          </w:p>
        </w:tc>
        <w:tc>
          <w:tcPr>
            <w:tcW w:type="dxa" w:w="2211"/>
          </w:tcPr>
          <w:p>
            <w:r>
              <w:rPr>
                <w:sz w:val="18"/>
              </w:rPr>
            </w:r>
            <w:r>
              <w:rPr>
                <w:rFonts w:ascii="Times New Roman" w:hAnsi="Times New Roman" w:eastAsia="宋体"/>
                <w:sz w:val="18"/>
              </w:rPr>
              <w:t>陆面参数融合与气象驱动组织</w:t>
            </w:r>
          </w:p>
        </w:tc>
        <w:tc>
          <w:tcPr>
            <w:tcW w:type="dxa" w:w="2211"/>
          </w:tcPr>
          <w:p>
            <w:r>
              <w:rPr>
                <w:sz w:val="18"/>
              </w:rPr>
            </w:r>
            <w:r>
              <w:rPr>
                <w:rFonts w:ascii="Times New Roman" w:hAnsi="Times New Roman" w:eastAsia="宋体"/>
                <w:sz w:val="18"/>
              </w:rPr>
              <w:t>标准产品进入Emerald参数组织与模型初始化</w:t>
            </w:r>
          </w:p>
        </w:tc>
      </w:tr>
      <w:tr>
        <w:tc>
          <w:tcPr>
            <w:tcW w:type="dxa" w:w="2211"/>
          </w:tcPr>
          <w:p>
            <w:r>
              <w:rPr>
                <w:sz w:val="18"/>
              </w:rPr>
            </w:r>
            <w:r>
              <w:rPr>
                <w:rFonts w:ascii="Times New Roman" w:hAnsi="Times New Roman" w:eastAsia="宋体"/>
                <w:sz w:val="18"/>
              </w:rPr>
              <w:t>数据生产</w:t>
            </w:r>
          </w:p>
        </w:tc>
        <w:tc>
          <w:tcPr>
            <w:tcW w:type="dxa" w:w="2211"/>
          </w:tcPr>
          <w:p>
            <w:r>
              <w:rPr>
                <w:sz w:val="18"/>
              </w:rPr>
            </w:r>
            <w:r>
              <w:rPr>
                <w:rFonts w:ascii="Times New Roman" w:hAnsi="Times New Roman" w:eastAsia="宋体"/>
                <w:sz w:val="18"/>
              </w:rPr>
              <w:t>数据源专用处理及贡献流程</w:t>
            </w:r>
          </w:p>
        </w:tc>
        <w:tc>
          <w:tcPr>
            <w:tcW w:type="dxa" w:w="2211"/>
          </w:tcPr>
          <w:p>
            <w:r>
              <w:rPr>
                <w:sz w:val="18"/>
              </w:rPr>
            </w:r>
            <w:r>
              <w:rPr>
                <w:rFonts w:ascii="Times New Roman" w:hAnsi="Times New Roman" w:eastAsia="宋体"/>
                <w:sz w:val="18"/>
              </w:rPr>
              <w:t>共享YAML配置规范、程序化与交互式配置生成及显式源维度映射</w:t>
            </w:r>
          </w:p>
        </w:tc>
        <w:tc>
          <w:tcPr>
            <w:tcW w:type="dxa" w:w="2211"/>
          </w:tcPr>
          <w:p>
            <w:r>
              <w:rPr>
                <w:sz w:val="18"/>
              </w:rPr>
            </w:r>
            <w:r>
              <w:rPr>
                <w:rFonts w:ascii="Times New Roman" w:hAnsi="Times New Roman" w:eastAsia="宋体"/>
                <w:sz w:val="18"/>
              </w:rPr>
              <w:t>形成共享的标准产品生产工作流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YAML驱动的数据生产与标准化</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宋体"/>
                <w:b/>
                <w:sz w:val="18"/>
              </w:rPr>
              <w:t>类别</w:t>
            </w:r>
          </w:p>
        </w:tc>
        <w:tc>
          <w:tcPr>
            <w:tcW w:type="dxa" w:w="2948"/>
            <w:shd w:fill="D9EAF7"/>
          </w:tcPr>
          <w:p>
            <w:r>
              <w:rPr>
                <w:b/>
                <w:sz w:val="18"/>
              </w:rPr>
            </w:r>
            <w:r>
              <w:rPr>
                <w:rFonts w:ascii="Times New Roman" w:hAnsi="Times New Roman" w:eastAsia="宋体"/>
                <w:b/>
                <w:sz w:val="18"/>
              </w:rPr>
              <w:t>新版规范</w:t>
            </w:r>
          </w:p>
        </w:tc>
        <w:tc>
          <w:tcPr>
            <w:tcW w:type="dxa" w:w="2948"/>
            <w:shd w:fill="D9EAF7"/>
          </w:tcPr>
          <w:p>
            <w:r>
              <w:rPr>
                <w:b/>
                <w:sz w:val="18"/>
              </w:rPr>
            </w:r>
            <w:r>
              <w:rPr>
                <w:rFonts w:ascii="Times New Roman" w:hAnsi="Times New Roman" w:eastAsia="宋体"/>
                <w:b/>
                <w:sz w:val="18"/>
              </w:rPr>
              <w:t>实现方式</w:t>
            </w:r>
          </w:p>
        </w:tc>
      </w:tr>
      <w:tr>
        <w:tc>
          <w:tcPr>
            <w:tcW w:type="dxa" w:w="2948"/>
          </w:tcPr>
          <w:p>
            <w:r>
              <w:rPr>
                <w:sz w:val="18"/>
              </w:rPr>
            </w:r>
            <w:r>
              <w:rPr>
                <w:rFonts w:ascii="Times New Roman" w:hAnsi="Times New Roman" w:eastAsia="宋体"/>
                <w:sz w:val="18"/>
              </w:rPr>
              <w:t>文件与网格</w:t>
            </w:r>
          </w:p>
        </w:tc>
        <w:tc>
          <w:tcPr>
            <w:tcW w:type="dxa" w:w="2948"/>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2948"/>
          </w:tcPr>
          <w:p>
            <w:r>
              <w:rPr>
                <w:sz w:val="18"/>
              </w:rPr>
            </w:r>
            <w:r>
              <w:rPr>
                <w:rFonts w:ascii="Times New Roman" w:hAnsi="Times New Roman" w:eastAsia="宋体"/>
                <w:sz w:val="18"/>
              </w:rPr>
              <w:t>NetCDF统一保存数据、坐标与自描述元数据</w:t>
            </w:r>
          </w:p>
        </w:tc>
      </w:tr>
      <w:tr>
        <w:tc>
          <w:tcPr>
            <w:tcW w:type="dxa" w:w="2948"/>
          </w:tcPr>
          <w:p>
            <w:r>
              <w:rPr>
                <w:sz w:val="18"/>
              </w:rPr>
            </w:r>
            <w:r>
              <w:rPr>
                <w:rFonts w:ascii="Times New Roman" w:hAnsi="Times New Roman" w:eastAsia="宋体"/>
                <w:sz w:val="18"/>
              </w:rPr>
              <w:t>维度</w:t>
            </w:r>
          </w:p>
        </w:tc>
        <w:tc>
          <w:tcPr>
            <w:tcW w:type="dxa" w:w="2948"/>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2948"/>
          </w:tcPr>
          <w:p>
            <w:r>
              <w:rPr>
                <w:sz w:val="18"/>
              </w:rPr>
            </w:r>
            <w:r>
              <w:rPr>
                <w:rFonts w:ascii="Times New Roman" w:hAnsi="Times New Roman" w:eastAsia="宋体"/>
                <w:sz w:val="18"/>
              </w:rPr>
              <w:t>通用维度映射将多种源排列转换为统一结构</w:t>
            </w:r>
          </w:p>
        </w:tc>
      </w:tr>
      <w:tr>
        <w:tc>
          <w:tcPr>
            <w:tcW w:type="dxa" w:w="2948"/>
          </w:tcPr>
          <w:p>
            <w:r>
              <w:rPr>
                <w:sz w:val="18"/>
              </w:rPr>
            </w:r>
            <w:r>
              <w:rPr>
                <w:rFonts w:ascii="Times New Roman" w:hAnsi="Times New Roman" w:eastAsia="宋体"/>
                <w:sz w:val="18"/>
              </w:rPr>
              <w:t>坐标方向</w:t>
            </w:r>
          </w:p>
        </w:tc>
        <w:tc>
          <w:tcPr>
            <w:tcW w:type="dxa" w:w="2948"/>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2948"/>
          </w:tcPr>
          <w:p>
            <w:r>
              <w:rPr>
                <w:sz w:val="18"/>
              </w:rPr>
            </w:r>
            <w:r>
              <w:rPr>
                <w:rFonts w:ascii="Times New Roman" w:hAnsi="Times New Roman" w:eastAsia="宋体"/>
                <w:sz w:val="18"/>
              </w:rPr>
              <w:t>翻转和循环平移保持数据与坐标同步</w:t>
            </w:r>
          </w:p>
        </w:tc>
      </w:tr>
      <w:tr>
        <w:tc>
          <w:tcPr>
            <w:tcW w:type="dxa" w:w="2948"/>
          </w:tcPr>
          <w:p>
            <w:r>
              <w:rPr>
                <w:sz w:val="18"/>
              </w:rPr>
            </w:r>
            <w:r>
              <w:rPr>
                <w:rFonts w:ascii="Times New Roman" w:hAnsi="Times New Roman" w:eastAsia="宋体"/>
                <w:sz w:val="18"/>
              </w:rPr>
              <w:t>数据变量</w:t>
            </w:r>
          </w:p>
        </w:tc>
        <w:tc>
          <w:tcPr>
            <w:tcW w:type="dxa" w:w="2948"/>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2948"/>
          </w:tcPr>
          <w:p>
            <w:r>
              <w:rPr>
                <w:sz w:val="18"/>
              </w:rPr>
            </w:r>
            <w:r>
              <w:rPr>
                <w:rFonts w:ascii="Times New Roman" w:hAnsi="Times New Roman" w:eastAsia="宋体"/>
                <w:sz w:val="18"/>
              </w:rPr>
              <w:t>统一变量命名、类型、单位和数值表达</w:t>
            </w:r>
          </w:p>
        </w:tc>
      </w:tr>
      <w:tr>
        <w:tc>
          <w:tcPr>
            <w:tcW w:type="dxa" w:w="2948"/>
          </w:tcPr>
          <w:p>
            <w:r>
              <w:rPr>
                <w:sz w:val="18"/>
              </w:rPr>
            </w:r>
            <w:r>
              <w:rPr>
                <w:rFonts w:ascii="Times New Roman" w:hAnsi="Times New Roman" w:eastAsia="宋体"/>
                <w:sz w:val="18"/>
              </w:rPr>
              <w:t>Gapfill与范围</w:t>
            </w:r>
          </w:p>
        </w:tc>
        <w:tc>
          <w:tcPr>
            <w:tcW w:type="dxa" w:w="2948"/>
          </w:tcPr>
          <w:p>
            <w:r>
              <w:rPr>
                <w:sz w:val="18"/>
              </w:rPr>
            </w:r>
            <w:r>
              <w:rPr>
                <w:rFonts w:ascii="Times New Roman" w:hAnsi="Times New Roman" w:eastAsia="宋体"/>
                <w:sz w:val="18"/>
              </w:rPr>
              <w:t>有效范围、填充值和Gapfill策略由YAML显式声明</w:t>
            </w:r>
          </w:p>
        </w:tc>
        <w:tc>
          <w:tcPr>
            <w:tcW w:type="dxa" w:w="2948"/>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2948"/>
          </w:tcPr>
          <w:p>
            <w:r>
              <w:rPr>
                <w:sz w:val="18"/>
              </w:rPr>
            </w:r>
            <w:r>
              <w:rPr>
                <w:rFonts w:ascii="Times New Roman" w:hAnsi="Times New Roman" w:eastAsia="宋体"/>
                <w:sz w:val="18"/>
              </w:rPr>
              <w:t>变量元数据</w:t>
            </w:r>
          </w:p>
        </w:tc>
        <w:tc>
          <w:tcPr>
            <w:tcW w:type="dxa" w:w="2948"/>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2948"/>
          </w:tcPr>
          <w:p>
            <w:r>
              <w:rPr>
                <w:sz w:val="18"/>
              </w:rPr>
            </w:r>
            <w:r>
              <w:rPr>
                <w:rFonts w:ascii="Times New Roman" w:hAnsi="Times New Roman" w:eastAsia="宋体"/>
                <w:sz w:val="18"/>
              </w:rPr>
              <w:t>输出文件保留变量语义与主要转换过程</w:t>
            </w:r>
          </w:p>
        </w:tc>
      </w:tr>
      <w:tr>
        <w:tc>
          <w:tcPr>
            <w:tcW w:type="dxa" w:w="2948"/>
          </w:tcPr>
          <w:p>
            <w:r>
              <w:rPr>
                <w:sz w:val="18"/>
              </w:rPr>
            </w:r>
            <w:r>
              <w:rPr>
                <w:rFonts w:ascii="Times New Roman" w:hAnsi="Times New Roman" w:eastAsia="宋体"/>
                <w:sz w:val="18"/>
              </w:rPr>
              <w:t>处理记录</w:t>
            </w:r>
          </w:p>
        </w:tc>
        <w:tc>
          <w:tcPr>
            <w:tcW w:type="dxa" w:w="2948"/>
          </w:tcPr>
          <w:p>
            <w:r>
              <w:rPr>
                <w:sz w:val="18"/>
              </w:rPr>
            </w:r>
            <w:r>
              <w:rPr>
                <w:rFonts w:ascii="Times New Roman" w:hAnsi="Times New Roman" w:eastAsia="宋体"/>
                <w:sz w:val="18"/>
              </w:rPr>
              <w:t>YAML声明维度、坐标、数值与Gapfill规则；NetCDF属性写入逐项变更记录</w:t>
            </w:r>
          </w:p>
        </w:tc>
        <w:tc>
          <w:tcPr>
            <w:tcW w:type="dxa" w:w="2948"/>
          </w:tcPr>
          <w:p>
            <w:r>
              <w:rPr>
                <w:sz w:val="18"/>
              </w:rPr>
            </w:r>
            <w:r>
              <w:rPr>
                <w:rFonts w:ascii="Times New Roman" w:hAnsi="Times New Roman" w:eastAsia="宋体"/>
                <w:sz w:val="18"/>
              </w:rPr>
              <w:t>配置意图与产品处理历史相互对应</w:t>
            </w:r>
          </w:p>
        </w:tc>
      </w:tr>
      <w:tr>
        <w:tc>
          <w:tcPr>
            <w:tcW w:type="dxa" w:w="2948"/>
          </w:tcPr>
          <w:p>
            <w:r>
              <w:rPr>
                <w:sz w:val="18"/>
              </w:rPr>
            </w:r>
            <w:r>
              <w:rPr>
                <w:rFonts w:ascii="Times New Roman" w:hAnsi="Times New Roman" w:eastAsia="宋体"/>
                <w:sz w:val="18"/>
              </w:rPr>
              <w:t>处理复现</w:t>
            </w:r>
          </w:p>
        </w:tc>
        <w:tc>
          <w:tcPr>
            <w:tcW w:type="dxa" w:w="2948"/>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2948"/>
          </w:tcPr>
          <w:p>
            <w:r>
              <w:rPr>
                <w:sz w:val="18"/>
              </w:rPr>
            </w:r>
            <w:r>
              <w:rPr>
                <w:rFonts w:ascii="Times New Roman" w:hAnsi="Times New Roman" w:eastAsia="宋体"/>
                <w:sz w:val="18"/>
              </w:rPr>
              <w:t>配置、输入与代码版本共同重建标准产品</w:t>
            </w:r>
          </w:p>
        </w:tc>
      </w:tr>
      <w:tr>
        <w:tc>
          <w:tcPr>
            <w:tcW w:type="dxa" w:w="2948"/>
          </w:tcPr>
          <w:p>
            <w:r>
              <w:rPr>
                <w:sz w:val="18"/>
              </w:rPr>
            </w:r>
            <w:r>
              <w:rPr>
                <w:rFonts w:ascii="Times New Roman" w:hAnsi="Times New Roman" w:eastAsia="宋体"/>
                <w:sz w:val="18"/>
              </w:rPr>
              <w:t>标签与版本</w:t>
            </w:r>
          </w:p>
        </w:tc>
        <w:tc>
          <w:tcPr>
            <w:tcW w:type="dxa" w:w="2948"/>
          </w:tcPr>
          <w:p>
            <w:r>
              <w:rPr>
                <w:sz w:val="18"/>
              </w:rPr>
            </w:r>
            <w:r>
              <w:rPr>
                <w:rFonts w:ascii="Times New Roman" w:hAnsi="Times New Roman" w:eastAsia="宋体"/>
                <w:sz w:val="18"/>
              </w:rPr>
              <w:t>标签表达类别、空间/时间分辨率、年份、版本和可选修订号</w:t>
            </w:r>
          </w:p>
        </w:tc>
        <w:tc>
          <w:tcPr>
            <w:tcW w:type="dxa" w:w="2948"/>
          </w:tcPr>
          <w:p>
            <w:r>
              <w:rPr>
                <w:sz w:val="18"/>
              </w:rPr>
            </w:r>
            <w:r>
              <w:rPr>
                <w:rFonts w:ascii="Times New Roman" w:hAnsi="Times New Roman" w:eastAsia="宋体"/>
                <w:sz w:val="18"/>
              </w:rPr>
              <w:t>标签与文件名共同形成稳定产品标识</w:t>
            </w:r>
          </w:p>
        </w:tc>
      </w:tr>
      <w:tr>
        <w:tc>
          <w:tcPr>
            <w:tcW w:type="dxa" w:w="2948"/>
          </w:tcPr>
          <w:p>
            <w:r>
              <w:rPr>
                <w:sz w:val="18"/>
              </w:rPr>
            </w:r>
            <w:r>
              <w:rPr>
                <w:rFonts w:ascii="Times New Roman" w:hAnsi="Times New Roman" w:eastAsia="宋体"/>
                <w:sz w:val="18"/>
              </w:rPr>
              <w:t>分发完整性</w:t>
            </w:r>
          </w:p>
        </w:tc>
        <w:tc>
          <w:tcPr>
            <w:tcW w:type="dxa" w:w="2948"/>
          </w:tcPr>
          <w:p>
            <w:r>
              <w:rPr>
                <w:sz w:val="18"/>
              </w:rPr>
            </w:r>
            <w:r>
              <w:rPr>
                <w:rFonts w:ascii="Times New Roman" w:hAnsi="Times New Roman" w:eastAsia="宋体"/>
                <w:sz w:val="18"/>
              </w:rPr>
              <w:t>新登记或严格完整性条目记录文件字节数和SHA-256；同一标签的受控镜像指向相同内容</w:t>
            </w:r>
          </w:p>
        </w:tc>
        <w:tc>
          <w:tcPr>
            <w:tcW w:type="dxa" w:w="2948"/>
          </w:tcPr>
          <w:p>
            <w:r>
              <w:rPr>
                <w:sz w:val="18"/>
              </w:rPr>
            </w:r>
            <w:r>
              <w:rPr>
                <w:rFonts w:ascii="Times New Roman" w:hAnsi="Times New Roman" w:eastAsia="宋体"/>
                <w:sz w:val="18"/>
              </w:rPr>
              <w:t>对带完整性元数据的条目下载后核验并以事务方式进入正式目录；历史条目由兼容模式承接</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YAML将数据源差异与通用处理代码分离。配置以</w:t>
      </w:r>
      <w:r>
        <w:rPr>
          <w:rFonts w:ascii="Consolas" w:hAnsi="Consolas" w:eastAsia="等线"/>
        </w:rPr>
        <w:t>FILE</w:t>
      </w:r>
      <w:r>
        <w:rPr>
          <w:rFonts w:ascii="Times New Roman" w:hAnsi="Times New Roman" w:eastAsia="宋体"/>
        </w:rPr>
        <w:t>、</w:t>
      </w:r>
      <w:r>
        <w:rPr>
          <w:rFonts w:ascii="Consolas" w:hAnsi="Consolas" w:eastAsia="等线"/>
        </w:rPr>
        <w:t>FOLDER</w:t>
      </w:r>
      <w:r>
        <w:rPr>
          <w:rFonts w:ascii="Times New Roman" w:hAnsi="Times New Roman" w:eastAsia="宋体"/>
        </w:rPr>
        <w:t>、</w:t>
      </w:r>
      <w:r>
        <w:rPr>
          <w:rFonts w:ascii="Consolas" w:hAnsi="Consolas" w:eastAsia="等线"/>
        </w:rPr>
        <w:t>DATA</w:t>
      </w:r>
      <w:r>
        <w:rPr>
          <w:rFonts w:ascii="Times New Roman" w:hAnsi="Times New Roman" w:eastAsia="宋体"/>
        </w:rPr>
        <w:t>（及可选</w:t>
      </w:r>
      <w:r>
        <w:rPr>
          <w:rFonts w:ascii="Consolas" w:hAnsi="Consolas" w:eastAsia="等线"/>
        </w:rPr>
        <w:t>STD</w:t>
      </w:r>
      <w:r>
        <w:rPr>
          <w:rFonts w:ascii="Times New Roman" w:hAnsi="Times New Roman" w:eastAsia="宋体"/>
        </w:rPr>
        <w:t>）和</w:t>
      </w:r>
      <w:r>
        <w:rPr>
          <w:rFonts w:ascii="Consolas" w:hAnsi="Consolas" w:eastAsia="等线"/>
        </w:rPr>
        <w:t>GRIDDINGMACHINE</w:t>
      </w:r>
      <w:r>
        <w:rPr>
          <w:rFonts w:ascii="Times New Roman" w:hAnsi="Times New Roman" w:eastAsia="宋体"/>
        </w:rPr>
        <w:t>组织文件组合、输入输出位置、变量语义与转换规则以及稳定标签，并通过</w:t>
      </w:r>
      <w:r>
        <w:rPr>
          <w:rFonts w:ascii="Consolas" w:hAnsi="Consolas" w:eastAsia="等线"/>
        </w:rPr>
        <w:t>SCHEMA_VERSION</w:t>
      </w:r>
      <w:r>
        <w:rPr>
          <w:rFonts w:ascii="Times New Roman" w:hAnsi="Times New Roman" w:eastAsia="宋体"/>
        </w:rPr>
        <w:t>约束字段类型、必需项、默认值、互斥关系和数组长度一致性。</w:t>
      </w:r>
      <w:r>
        <w:rPr>
          <w:rFonts w:ascii="Consolas" w:hAnsi="Consolas" w:eastAsia="等线"/>
        </w:rPr>
        <w:t>DIMENSIONS</w:t>
      </w:r>
      <w:r>
        <w:rPr>
          <w:rFonts w:ascii="Times New Roman" w:hAnsi="Times New Roman" w:eastAsia="宋体"/>
        </w:rPr>
        <w:t>显式记录源变量的维度语义，</w:t>
      </w:r>
      <w:r>
        <w:rPr>
          <w:rFonts w:ascii="Consolas" w:hAnsi="Consolas" w:eastAsia="等线"/>
        </w:rPr>
        <w:t>GAPFILL</w:t>
      </w:r>
      <w:r>
        <w:rPr>
          <w:rFonts w:ascii="Times New Roman" w:hAnsi="Times New Roman" w:eastAsia="宋体"/>
        </w:rPr>
        <w:t>、坐标方向、数值范围和缩放规则在数据读取前完成解析；配置构建器与生产流水线调用同一规范。</w:t>
      </w:r>
    </w:p>
    <w:p>
      <w:r>
        <w:rPr>
          <w:rFonts w:ascii="Times New Roman" w:hAnsi="Times New Roman" w:eastAsia="宋体"/>
        </w:rPr>
        <w:t>受控二维示例采用</w:t>
      </w:r>
      <w:r>
        <w:rPr>
          <w:rFonts w:ascii="Consolas" w:hAnsi="Consolas" w:eastAsia="等线"/>
        </w:rPr>
        <w:t>(lat, lon)</w:t>
      </w:r>
      <w:r>
        <w:rPr>
          <w:rFonts w:ascii="Times New Roman" w:hAnsi="Times New Roman" w:eastAsia="宋体"/>
        </w:rPr>
        <w:t>源维度排列，纬度按北向南排列，经度范围为</w:t>
      </w:r>
      <w:r>
        <w:rPr>
          <w:rFonts w:ascii="Consolas" w:hAnsi="Consolas" w:eastAsia="等线"/>
        </w:rPr>
        <w:t>0°～360°</w:t>
      </w:r>
      <w:r>
        <w:rPr>
          <w:rFonts w:ascii="Times New Roman" w:hAnsi="Times New Roman" w:eastAsia="宋体"/>
        </w:rPr>
        <w:t>。配置文件显式声明源维度语义、纬度方向转换、经度范围转换和线性数值变换，生产流水线据此生成标准</w:t>
      </w:r>
      <w:r>
        <w:rPr>
          <w:rFonts w:ascii="Consolas" w:hAnsi="Consolas" w:eastAsia="等线"/>
        </w:rPr>
        <w:t>(lon, lat)</w:t>
      </w:r>
      <w:r>
        <w:rPr>
          <w:rFonts w:ascii="Times New Roman" w:hAnsi="Times New Roman" w:eastAsia="宋体"/>
        </w:rPr>
        <w:t>产品。输出坐标和数值与独立构造的参考数组逐点一致，用于验证配置声明能够被正确映射为标准化处理过程。完整YAML配置、字段说明、执行命令和目录结构列于补充材料S3及版本化贡献指南。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宋体"/>
        </w:rPr>
        <w:t>框架同时提供程序化和本地交互式配置生成方式。二者输出均经同一配置规范校验后进入</w:t>
      </w:r>
      <w:r>
        <w:rPr>
          <w:rFonts w:ascii="Consolas" w:hAnsi="Consolas" w:eastAsia="等线"/>
        </w:rPr>
        <w:t>process_dataset!</w:t>
      </w:r>
      <w:r>
        <w:rPr>
          <w:rFonts w:ascii="Times New Roman" w:hAnsi="Times New Roman" w:eastAsia="宋体"/>
        </w:rPr>
        <w:t>，使数据贡献入口与生产流水线共享一致的字段语义。</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空间方向检查依据变量维度生成带经纬度坐标轴的审核图，人工确认与自动结构、坐标和逐点数值检查相互补充；</w:t>
      </w:r>
      <w:r>
        <w:rPr>
          <w:rFonts w:ascii="Consolas" w:hAnsi="Consolas" w:eastAsia="等线"/>
        </w:rPr>
        <w:t>VERIFY_ONCE</w:t>
      </w:r>
      <w:r>
        <w:rPr>
          <w:rFonts w:ascii="Times New Roman" w:hAnsi="Times New Roman" w:eastAsia="宋体"/>
        </w:rPr>
        <w:t>用于记录同一配置组合的首次方向确认。成品质量检查进一步核对</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及可选</w:t>
      </w:r>
      <w:r>
        <w:rPr>
          <w:rFonts w:ascii="Consolas" w:hAnsi="Consolas" w:eastAsia="等线"/>
        </w:rPr>
        <w:t>ind</w:t>
      </w:r>
      <w:r>
        <w:rPr>
          <w:rFonts w:ascii="Times New Roman" w:hAnsi="Times New Roman" w:eastAsia="宋体"/>
        </w:rPr>
        <w:t>维度、主变量</w:t>
      </w:r>
      <w:r>
        <w:rPr>
          <w:rFonts w:ascii="Consolas" w:hAnsi="Consolas" w:eastAsia="等线"/>
        </w:rPr>
        <w:t>data</w:t>
      </w:r>
      <w:r>
        <w:rPr>
          <w:rFonts w:ascii="Times New Roman" w:hAnsi="Times New Roman" w:eastAsia="宋体"/>
        </w:rPr>
        <w:t>、数值范围和缺失值状态。对于标准支持分辨率，陆地区域完整性通过重采样</w:t>
      </w:r>
      <w:r>
        <w:rPr>
          <w:rFonts w:ascii="Consolas" w:hAnsi="Consolas" w:eastAsia="等线"/>
        </w:rPr>
        <w:t>LM_4X_1Y_V1</w:t>
      </w:r>
      <w:r>
        <w:rPr>
          <w:rFonts w:ascii="Times New Roman" w:hAnsi="Times New Roman" w:eastAsia="宋体"/>
        </w:rPr>
        <w:t>掩膜检查；其他分辨率由专用规则承接。由此，生产阶段的变换记录、自动判据和必要的空间方向审核共同构成标准产品质量控制。</w:t>
      </w:r>
    </w:p>
    <w:p>
      <w:pPr>
        <w:pStyle w:val="Heading2"/>
      </w:pPr>
      <w:r>
        <w:rPr>
          <w:rFonts w:ascii="Times New Roman" w:hAnsi="Times New Roman" w:eastAsia="宋体"/>
        </w:rPr>
        <w:t>2.3 独立数据目录与事务式多镜像分发</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数据发布与目录登记相互解耦：维护者可将标准NetCDF发布到机构FTP、HTTP(S)或公共存储，目录生成器根据本地权威文件和公开地址生成逻辑路径、去重镜像列表，并对新登记或需要严格完整性管理的条目计算文件字节数和SHA-256。目录通过临时文件写入和替换，使产品列表、镜像位置和完整性元数据能够独立于访问软件版本更新。</w:t>
      </w:r>
    </w:p>
    <w:p>
      <w:r>
        <w:rPr>
          <w:rFonts w:ascii="Consolas" w:hAnsi="Consolas" w:eastAsia="等线"/>
        </w:rPr>
        <w:t>GriddingMachine.jl</w:t>
      </w:r>
      <w:r>
        <w:rPr>
          <w:rFonts w:ascii="Times New Roman" w:hAnsi="Times New Roman" w:eastAsia="宋体"/>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以及可选的</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。严格完整性模式要求后两项同时存在，兼容模式保持历史条目的标签访问；目录规范和获取逻辑对多URL与完整性字段采用统一表达。</w:t>
      </w:r>
    </w:p>
    <w:p>
      <w:r>
        <w:rPr>
          <w:rFonts w:ascii="Times New Roman" w:hAnsi="Times New Roman" w:eastAsia="宋体"/>
        </w:rPr>
        <w:t>产品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产品。全库同步、状态查询和历史数据整理复用相同目录与获取逻辑。</w:t>
      </w:r>
    </w:p>
    <w:p>
      <w:r>
        <w:rPr>
          <w:rFonts w:ascii="Times New Roman" w:hAnsi="Times New Roman" w:eastAsia="宋体"/>
        </w:rPr>
        <w:t>这一设计将镜像选择与内容完整性判定分离：镜像和延迟信息用于组织候选顺序与回退，目录中的标准产品标识与完整性字段用于内容核验。多镜像实验选取已配置多个镜像和完整性元数据的代表性产品，综合评价候选遍历、内容核验和事务式落盘机制；相关接口、状态恢复流程和目录条目示例见补充材料。</w:t>
      </w:r>
    </w:p>
    <w:p>
      <w:pPr>
        <w:pStyle w:val="Heading2"/>
      </w:pPr>
      <w:r>
        <w:rPr>
          <w:rFonts w:ascii="Times New Roman" w:hAnsi="Times New Roman" w:eastAsia="宋体"/>
        </w:rPr>
        <w:t>2.4 统一读取与模式输入组织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。模式输入组织层直接继承数据生产与标准化层统一的单位、缺失值和物理范围，使处理规则集中于共享生产契约，并兼容既有读取方式。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状态同步进入质量控制。多个标准产品由此形成结构一致的格点级模式输入。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式输入组织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产品，经镜像获取，并在目录提供完整性元数据时执行内容核验，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r>
        <w:rPr>
          <w:rFonts w:ascii="Times New Roman" w:hAnsi="Times New Roman" w:eastAsia="宋体"/>
        </w:rPr>
        <w:t>表3按照受控实验、真实数据和真实网络应用组织全文证据，并列出各项核心贡献对应的主要评价指标。跨操作系统持续集成作为横向维度，贯穿生产、分发和模型接口的确定性核心路径。</w:t>
      </w:r>
    </w:p>
    <w:p>
      <w:pPr>
        <w:ind w:firstLine="0"/>
      </w:pPr>
      <w:r>
        <w:rPr>
          <w:rFonts w:ascii="Times New Roman" w:hAnsi="Times New Roman" w:eastAsia="宋体"/>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核心贡献</w:t>
            </w:r>
          </w:p>
        </w:tc>
        <w:tc>
          <w:tcPr>
            <w:tcW w:type="dxa" w:w="2211"/>
            <w:shd w:fill="D9EAF7"/>
          </w:tcPr>
          <w:p>
            <w:r>
              <w:rPr>
                <w:b/>
                <w:sz w:val="18"/>
              </w:rPr>
            </w:r>
            <w:r>
              <w:rPr>
                <w:rFonts w:ascii="Times New Roman" w:hAnsi="Times New Roman" w:eastAsia="宋体"/>
                <w:b/>
                <w:sz w:val="18"/>
              </w:rPr>
              <w:t>受控或确定性证据</w:t>
            </w:r>
          </w:p>
        </w:tc>
        <w:tc>
          <w:tcPr>
            <w:tcW w:type="dxa" w:w="2211"/>
            <w:shd w:fill="D9EAF7"/>
          </w:tcPr>
          <w:p>
            <w:r>
              <w:rPr>
                <w:b/>
                <w:sz w:val="18"/>
              </w:rPr>
            </w:r>
            <w:r>
              <w:rPr>
                <w:rFonts w:ascii="Times New Roman" w:hAnsi="Times New Roman" w:eastAsia="宋体"/>
                <w:b/>
                <w:sz w:val="18"/>
              </w:rPr>
              <w:t>真实数据/网络应用</w:t>
            </w:r>
          </w:p>
        </w:tc>
        <w:tc>
          <w:tcPr>
            <w:tcW w:type="dxa" w:w="2211"/>
            <w:shd w:fill="D9EAF7"/>
          </w:tcPr>
          <w:p>
            <w:r>
              <w:rPr>
                <w:b/>
                <w:sz w:val="18"/>
              </w:rPr>
            </w:r>
            <w:r>
              <w:rPr>
                <w:rFonts w:ascii="Times New Roman" w:hAnsi="Times New Roman" w:eastAsia="宋体"/>
                <w:b/>
                <w:sz w:val="18"/>
              </w:rPr>
              <w:t>主要评价指标</w:t>
            </w:r>
          </w:p>
        </w:tc>
      </w:tr>
      <w:tr>
        <w:tc>
          <w:tcPr>
            <w:tcW w:type="dxa" w:w="2211"/>
          </w:tcPr>
          <w:p>
            <w:r>
              <w:rPr>
                <w:sz w:val="18"/>
              </w:rPr>
            </w:r>
            <w:r>
              <w:rPr>
                <w:rFonts w:ascii="Times New Roman" w:hAnsi="Times New Roman" w:eastAsia="宋体"/>
                <w:sz w:val="18"/>
              </w:rPr>
              <w:t>数据生产与标准化层将异构源数据转换为标准NetCDF</w:t>
            </w:r>
          </w:p>
        </w:tc>
        <w:tc>
          <w:tcPr>
            <w:tcW w:type="dxa" w:w="2211"/>
          </w:tcPr>
          <w:p>
            <w:r>
              <w:rPr>
                <w:sz w:val="18"/>
              </w:rPr>
            </w:r>
            <w:r>
              <w:rPr>
                <w:rFonts w:ascii="Times New Roman" w:hAnsi="Times New Roman" w:eastAsia="宋体"/>
                <w:sz w:val="18"/>
              </w:rPr>
              <w:t>31组受控实例、ELEV重复生产与逐点核对</w:t>
            </w:r>
          </w:p>
        </w:tc>
        <w:tc>
          <w:tcPr>
            <w:tcW w:type="dxa" w:w="2211"/>
          </w:tcPr>
          <w:p>
            <w:r>
              <w:rPr>
                <w:sz w:val="18"/>
              </w:rPr>
            </w:r>
            <w:r>
              <w:rPr>
                <w:rFonts w:ascii="Times New Roman" w:hAnsi="Times New Roman" w:eastAsia="宋体"/>
                <w:sz w:val="18"/>
              </w:rPr>
              <w:t>OISST V2.1真实异构源数据</w:t>
            </w:r>
          </w:p>
        </w:tc>
        <w:tc>
          <w:tcPr>
            <w:tcW w:type="dxa" w:w="2211"/>
          </w:tcPr>
          <w:p>
            <w:r>
              <w:rPr>
                <w:sz w:val="18"/>
              </w:rPr>
            </w:r>
            <w:r>
              <w:rPr>
                <w:rFonts w:ascii="Times New Roman" w:hAnsi="Times New Roman" w:eastAsia="宋体"/>
                <w:sz w:val="18"/>
              </w:rPr>
              <w:t>维度与坐标、有效值掩膜、逐点物理值、重复生成摘要</w:t>
            </w:r>
          </w:p>
        </w:tc>
      </w:tr>
      <w:tr>
        <w:tc>
          <w:tcPr>
            <w:tcW w:type="dxa" w:w="2211"/>
          </w:tcPr>
          <w:p>
            <w:r>
              <w:rPr>
                <w:sz w:val="18"/>
              </w:rPr>
            </w:r>
            <w:r>
              <w:rPr>
                <w:rFonts w:ascii="Times New Roman" w:hAnsi="Times New Roman" w:eastAsia="宋体"/>
                <w:sz w:val="18"/>
              </w:rPr>
              <w:t>数据目录与可信分发层组织高效且内容可核验的数据获取</w:t>
            </w:r>
          </w:p>
        </w:tc>
        <w:tc>
          <w:tcPr>
            <w:tcW w:type="dxa" w:w="2211"/>
          </w:tcPr>
          <w:p>
            <w:r>
              <w:rPr>
                <w:sz w:val="18"/>
              </w:rPr>
            </w:r>
            <w:r>
              <w:rPr>
                <w:rFonts w:ascii="Times New Roman" w:hAnsi="Times New Roman" w:eastAsia="宋体"/>
                <w:sz w:val="18"/>
              </w:rPr>
              <w:t>ELEV/LAI回环HTTP对照；13类受控状态场景</w:t>
            </w:r>
          </w:p>
        </w:tc>
        <w:tc>
          <w:tcPr>
            <w:tcW w:type="dxa" w:w="2211"/>
          </w:tcPr>
          <w:p>
            <w:r>
              <w:rPr>
                <w:sz w:val="18"/>
              </w:rPr>
            </w:r>
            <w:r>
              <w:rPr>
                <w:rFonts w:ascii="Times New Roman" w:hAnsi="Times New Roman" w:eastAsia="宋体"/>
                <w:sz w:val="18"/>
              </w:rPr>
              <w:t>Zenodo公共网络记录；校园网FTP—Zenodo同文件获取</w:t>
            </w:r>
          </w:p>
        </w:tc>
        <w:tc>
          <w:tcPr>
            <w:tcW w:type="dxa" w:w="2211"/>
          </w:tcPr>
          <w:p>
            <w:r>
              <w:rPr>
                <w:sz w:val="18"/>
              </w:rPr>
            </w:r>
            <w:r>
              <w:rPr>
                <w:rFonts w:ascii="Times New Roman" w:hAnsi="Times New Roman" w:eastAsia="宋体"/>
                <w:sz w:val="18"/>
              </w:rPr>
              <w:t>端到端时间、传输字节、候选遍历、</w:t>
            </w:r>
            <w:r>
              <w:rPr>
                <w:rFonts w:ascii="Consolas" w:hAnsi="Consolas" w:eastAsia="等线"/>
                <w:sz w:val="18"/>
              </w:rPr>
              <w:t>SIZE</w:t>
            </w:r>
            <w:r>
              <w:rPr>
                <w:rFonts w:ascii="Times New Roman" w:hAnsi="Times New Roman" w:eastAsia="宋体"/>
                <w:sz w:val="18"/>
              </w:rPr>
              <w:t>/SHA-256、临时与正式文件状态</w:t>
            </w:r>
          </w:p>
        </w:tc>
      </w:tr>
      <w:tr>
        <w:tc>
          <w:tcPr>
            <w:tcW w:type="dxa" w:w="2211"/>
          </w:tcPr>
          <w:p>
            <w:r>
              <w:rPr>
                <w:sz w:val="18"/>
              </w:rPr>
            </w:r>
            <w:r>
              <w:rPr>
                <w:rFonts w:ascii="Times New Roman" w:hAnsi="Times New Roman" w:eastAsia="宋体"/>
                <w:sz w:val="18"/>
              </w:rPr>
              <w:t>模式输入组织层将标准产品组织为模型就绪输入</w:t>
            </w:r>
          </w:p>
        </w:tc>
        <w:tc>
          <w:tcPr>
            <w:tcW w:type="dxa" w:w="2211"/>
          </w:tcPr>
          <w:p>
            <w:r>
              <w:rPr>
                <w:sz w:val="18"/>
              </w:rPr>
            </w:r>
            <w:r>
              <w:rPr>
                <w:rFonts w:ascii="Times New Roman" w:hAnsi="Times New Roman" w:eastAsia="宋体"/>
                <w:sz w:val="18"/>
              </w:rPr>
              <w:t>确定性读取、字段、时间轴与接口核对</w:t>
            </w:r>
          </w:p>
        </w:tc>
        <w:tc>
          <w:tcPr>
            <w:tcW w:type="dxa" w:w="2211"/>
          </w:tcPr>
          <w:p>
            <w:r>
              <w:rPr>
                <w:sz w:val="18"/>
              </w:rPr>
            </w:r>
            <w:r>
              <w:rPr>
                <w:rFonts w:ascii="Times New Roman" w:hAnsi="Times New Roman" w:eastAsia="宋体"/>
                <w:sz w:val="18"/>
              </w:rPr>
              <w:t>US-NR1的14类陆面产品、8类ERA5及Emerald初始化和60 s首步</w:t>
            </w:r>
          </w:p>
        </w:tc>
        <w:tc>
          <w:tcPr>
            <w:tcW w:type="dxa" w:w="2211"/>
          </w:tcPr>
          <w:p>
            <w:r>
              <w:rPr>
                <w:sz w:val="18"/>
              </w:rPr>
            </w:r>
            <w:r>
              <w:rPr>
                <w:rFonts w:ascii="Times New Roman" w:hAnsi="Times New Roman" w:eastAsia="宋体"/>
                <w:sz w:val="18"/>
              </w:rPr>
              <w:t>字段与形状、时间轴、量纲、逐点数值、初始化与首步状态</w:t>
            </w:r>
          </w:p>
        </w:tc>
      </w:tr>
      <w:tr>
        <w:tc>
          <w:tcPr>
            <w:tcW w:type="dxa" w:w="2211"/>
          </w:tcPr>
          <w:p>
            <w:r>
              <w:rPr>
                <w:sz w:val="18"/>
              </w:rPr>
            </w:r>
            <w:r>
              <w:rPr>
                <w:rFonts w:ascii="Times New Roman" w:hAnsi="Times New Roman" w:eastAsia="宋体"/>
                <w:sz w:val="18"/>
              </w:rPr>
              <w:t>核心实现具有跨操作系统运行一致性</w:t>
            </w:r>
          </w:p>
        </w:tc>
        <w:tc>
          <w:tcPr>
            <w:tcW w:type="dxa" w:w="2211"/>
          </w:tcPr>
          <w:p>
            <w:r>
              <w:rPr>
                <w:sz w:val="18"/>
              </w:rPr>
            </w:r>
            <w:r>
              <w:rPr>
                <w:rFonts w:ascii="Times New Roman" w:hAnsi="Times New Roman" w:eastAsia="宋体"/>
                <w:sz w:val="18"/>
              </w:rPr>
              <w:t>Windows、macOS、Linux持续集成</w:t>
            </w:r>
          </w:p>
        </w:tc>
        <w:tc>
          <w:tcPr>
            <w:tcW w:type="dxa" w:w="2211"/>
          </w:tcPr>
          <w:p>
            <w:r>
              <w:rPr>
                <w:sz w:val="18"/>
              </w:rPr>
            </w:r>
            <w:r>
              <w:rPr>
                <w:rFonts w:ascii="Times New Roman" w:hAnsi="Times New Roman" w:eastAsia="宋体"/>
                <w:sz w:val="18"/>
              </w:rPr>
              <w:t>Windows/macOS独立性能观测及按实际环境记录的真实网络案例</w:t>
            </w:r>
          </w:p>
        </w:tc>
        <w:tc>
          <w:tcPr>
            <w:tcW w:type="dxa" w:w="2211"/>
          </w:tcPr>
          <w:p>
            <w:r>
              <w:rPr>
                <w:sz w:val="18"/>
              </w:rPr>
            </w:r>
            <w:r>
              <w:rPr>
                <w:rFonts w:ascii="Times New Roman" w:hAnsi="Times New Roman" w:eastAsia="宋体"/>
                <w:sz w:val="18"/>
              </w:rPr>
              <w:t>产品结构、逐点数值、文件摘要、缓存状态和接口状态</w:t>
            </w:r>
          </w:p>
        </w:tc>
      </w:tr>
    </w:tbl>
    <w:p>
      <w:pPr>
        <w:ind w:firstLine="0"/>
      </w:pPr>
      <w:r>
        <w:rPr>
          <w:rFonts w:ascii="Times New Roman" w:hAnsi="Times New Roman" w:eastAsia="宋体"/>
          <w:b/>
        </w:rPr>
        <w:t>Table 3 Core contributions, evidence levels, and evaluation metrics for the GriddingMachine framework.</w:t>
      </w:r>
      <w:r>
        <w:rPr>
          <w:rFonts w:ascii="Times New Roman" w:hAnsi="Times New Roman" w:eastAsia="宋体"/>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宋体"/>
        </w:rPr>
        <w:t>3.1 数据生产与标准化及OISST案例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覆盖主要环节的数据贡献入口。</w:t>
      </w:r>
    </w:p>
    <w:p>
      <w:pPr>
        <w:pStyle w:val="Heading3"/>
      </w:pPr>
      <w:r>
        <w:rPr>
          <w:rFonts w:ascii="Times New Roman" w:hAnsi="Times New Roman" w:eastAsia="宋体"/>
        </w:rPr>
        <w:t>3.1.2 OISST异构产品标准化</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FTP与Zenodo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统一读取与模式输入组织</w:t>
      </w:r>
    </w:p>
    <w:p>
      <w:r>
        <w:rPr>
          <w:rFonts w:ascii="Times New Roman" w:hAnsi="Times New Roman" w:eastAsia="宋体"/>
        </w:rPr>
        <w:t>模式输入组织案例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维度、360×180×8784形状及单位属性。模式输入组织层输出与底层NetCDF直接读取的同一格点序列逐点比较；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跨操作系统运行一致性设计</w:t>
      </w:r>
    </w:p>
    <w:p>
      <w:r>
        <w:rPr>
          <w:rFonts w:ascii="Times New Roman" w:hAnsi="Times New Roman" w:eastAsia="宋体"/>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按照表3所列评价设计，以下依次呈现标准产品生产、直接NetCDF分发效率、多镜像获取、模式输入组织和跨操作系统运行一致性结果。</w:t>
      </w:r>
    </w:p>
    <w:p>
      <w:pPr>
        <w:pStyle w:val="Heading2"/>
      </w:pPr>
      <w:r>
        <w:rPr>
          <w:rFonts w:ascii="Times New Roman" w:hAnsi="Times New Roman" w:eastAsia="宋体"/>
        </w:rPr>
        <w:t>4.1 数据生产与标准化及OISST结果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产品、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数据文件的传输字节分别增加6.43%和2.16%，逻辑临时占用分别减少约48%和49%。80次SHA-256摘要核验结果一致，体现了减少重复压缩、解包及临时文件共存对缩短数据访问路径的贡献。</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目录管理与事务式多镜像分发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r>
        <w:rPr>
          <w:rFonts w:ascii="Times New Roman" w:hAnsi="Times New Roman" w:eastAsia="宋体"/>
        </w:rPr>
        <w:t>ERA5降水数据的单位修订进一步呈现逻辑标签与物理文件的解耦：逻辑标签</w:t>
      </w:r>
      <w:r>
        <w:rPr>
          <w:rFonts w:ascii="Consolas" w:hAnsi="Consolas" w:eastAsia="等线"/>
        </w:rPr>
        <w:t>PPT_ERA5_1X_1H_2020_V1</w:t>
      </w:r>
      <w:r>
        <w:rPr>
          <w:rFonts w:ascii="Times New Roman" w:hAnsi="Times New Roman" w:eastAsia="宋体"/>
        </w:rPr>
        <w:t>保持稳定，目录将其物理URL指向</w:t>
      </w:r>
      <w:r>
        <w:rPr>
          <w:rFonts w:ascii="Consolas" w:hAnsi="Consolas" w:eastAsia="等线"/>
        </w:rPr>
        <w:t>V1_R1.nc</w:t>
      </w:r>
      <w:r>
        <w:rPr>
          <w:rFonts w:ascii="Times New Roman" w:hAnsi="Times New Roman" w:eastAsia="宋体"/>
        </w:rPr>
        <w:t>并登记新的</w:t>
      </w:r>
      <w:r>
        <w:rPr>
          <w:rFonts w:ascii="Consolas" w:hAnsi="Consolas" w:eastAsia="等线"/>
        </w:rPr>
        <w:t>SIZE</w:t>
      </w:r>
      <w:r>
        <w:rPr>
          <w:rFonts w:ascii="Times New Roman" w:hAnsi="Times New Roman" w:eastAsia="宋体"/>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宋体"/>
        </w:rPr>
        <w:t>4.4 统一读取与模式输入组织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严格递增且与独立公式逐点一致。气象驱动组织形成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等线"/>
        </w:rPr>
        <w:t>m</w:t>
      </w:r>
      <w:r>
        <w:rPr>
          <w:rFonts w:ascii="Times New Roman" w:hAnsi="Times New Roman" w:eastAsia="宋体"/>
        </w:rPr>
        <w:t>，使数据元信息、数值尺度和模型换算形成一致的量纲链条。真实年度案例由此覆盖格点提取、时间轴构建、量纲衔接和模型首步计算等主要接口环节。</w:t>
      </w:r>
    </w:p>
    <w:p>
      <w:pPr>
        <w:pStyle w:val="Heading2"/>
      </w:pPr>
      <w:r>
        <w:rPr>
          <w:rFonts w:ascii="Times New Roman" w:hAnsi="Times New Roman" w:eastAsia="宋体"/>
        </w:rPr>
        <w:t>4.5 跨操作系统运行一致性结果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式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从统一产品标准到可执行数据生命周期</w:t>
      </w:r>
    </w:p>
    <w:p>
      <w:r>
        <w:rPr>
          <w:rFonts w:ascii="Times New Roman" w:hAnsi="Times New Roman" w:eastAsia="宋体"/>
        </w:rPr>
        <w:t>2022版GriddingMachine已经建立统一网格、变量约定、标签化数据访问以及基于artifact的数据管理[4]。新版进一步把分布于数据源专用处理、软件内置目录和下游调用中的维护单元组织为三个相互衔接的层次：共享YAML契约显式描述异构源到标准产品的转换规则，独立目录维护标准产品的逻辑标识、镜像和完整性元数据，统一读取与模式输入层围绕稳定标签组织下游使用。数据处理规则、产品目录和访问软件由此能够在共同约定下分别更新，并通过标准产品和标签保持连续对应。</w:t>
      </w:r>
    </w:p>
    <w:p>
      <w:r>
        <w:rPr>
          <w:rFonts w:ascii="Times New Roman" w:hAnsi="Times New Roman" w:eastAsia="宋体"/>
        </w:rPr>
        <w:t>OISST案例说明了这种重构在数据生产与标准化层的具体作用。源变量的单例维度、存储缩放和经度范围由源适配与共享配置共同表达，输出通过独立解码参考核对坐标、有效值掩膜和逐点物理值。31组受控实例解析维度、坐标、数值和Gapfill等基本操作的确定性表现，真实OISST呈现这些机制在实际异构产品中的组合路径。由此，新版将处理规则显式化为可执行、可核对的生产契约，并把标准化流程从数据源专用实现提升为可复用的数据生产方法。</w:t>
      </w:r>
    </w:p>
    <w:p>
      <w:pPr>
        <w:pStyle w:val="Heading2"/>
      </w:pPr>
      <w:r>
        <w:rPr>
          <w:rFonts w:ascii="Times New Roman" w:hAnsi="Times New Roman" w:eastAsia="宋体"/>
        </w:rPr>
        <w:t>5.2 直接NetCDF分发与完整性保证的重新建立</w:t>
      </w:r>
    </w:p>
    <w:p>
      <w:r>
        <w:rPr>
          <w:rFonts w:ascii="Times New Roman" w:hAnsi="Times New Roman" w:eastAsia="宋体"/>
        </w:rPr>
        <w:t>直接NetCDF简化了标准文件外层</w:t>
      </w:r>
      <w:r>
        <w:rPr>
          <w:rFonts w:ascii="Consolas" w:hAnsi="Consolas" w:eastAsia="等线"/>
        </w:rPr>
        <w:t>tar.gz</w:t>
      </w:r>
      <w:r>
        <w:rPr>
          <w:rFonts w:ascii="Times New Roman" w:hAnsi="Times New Roman" w:eastAsia="宋体"/>
        </w:rPr>
        <w:t>的打包和解包步骤。ELEV和LAI已经采用NetCDF内部压缩，外层归档仅减少2.16%～6.43%的传输字节；直接NetCDF在两个独立环境中均缩短了缓存预热后的端到端时间，并将逻辑临时占用降低约一半。对于下载后立即读取的单体NetCDF，分发单元由此能够综合优化传输字节、解包开销和首次读取路径，为内部压缩产品提供更直接的数据访问方式。</w:t>
      </w:r>
    </w:p>
    <w:p>
      <w:r>
        <w:rPr>
          <w:rFonts w:ascii="Times New Roman" w:hAnsi="Times New Roman" w:eastAsia="宋体"/>
        </w:rPr>
        <w:t>直接NetCDF路径同时以显式完整性记录承接旧版artifact封装提供的内容约束。新版目录生成器从权威标准文件计算并记录</w:t>
      </w:r>
      <w:r>
        <w:rPr>
          <w:rFonts w:ascii="Consolas" w:hAnsi="Consolas" w:eastAsia="等线"/>
        </w:rPr>
        <w:t>SIZE</w:t>
      </w:r>
      <w:r>
        <w:rPr>
          <w:rFonts w:ascii="Times New Roman" w:hAnsi="Times New Roman" w:eastAsia="宋体"/>
        </w:rPr>
        <w:t>和SHA-256；每个镜像下载到独立临时文件，字节数和摘要与目录一致后进入正式路径。13类受控状态场景刻画回退、内容变化和缓存条件下的事务行为，真实Zenodo及校园网FTP—Zenodo记录表明代表性网络副本与目录登记内容一致。分发效率与事务式完整性机制由此共同构成新版分发架构的两项互补改进。</w:t>
      </w:r>
    </w:p>
    <w:p>
      <w:r>
        <w:rPr>
          <w:rFonts w:ascii="Times New Roman" w:hAnsi="Times New Roman" w:eastAsia="宋体"/>
        </w:rPr>
        <w:t>ERA5降水V1→V1_R1修订展示了独立目录的另一项作用：模型侧继续使用稳定逻辑标签，物理文件、URL及完整性摘要在目录层更新。目录记录与带修订后缀的文件共同保留版本关系，使数据修订与下游接口保持解耦，并由新的摘要锁定修订后的文件内容。</w:t>
      </w:r>
    </w:p>
    <w:p>
      <w:pPr>
        <w:pStyle w:val="Heading2"/>
      </w:pPr>
      <w:r>
        <w:rPr>
          <w:rFonts w:ascii="Times New Roman" w:hAnsi="Times New Roman" w:eastAsia="宋体"/>
        </w:rPr>
        <w:t>5.3 科学质量控制与内容完整性的协同</w:t>
      </w:r>
    </w:p>
    <w:p>
      <w:r>
        <w:rPr>
          <w:rFonts w:ascii="Times New Roman" w:hAnsi="Times New Roman" w:eastAsia="宋体"/>
        </w:rPr>
        <w:t>生产质量控制与分发完整性核验形成互补。数据生产与标准化层通过维度、坐标方向、变量、数值范围、Gapfill、空间方向图和独立参考等检查，确认标准数据符合声明的处理规则；数据目录与可信分发层通过文件字节数和SHA-256确认下载对象与目录登记的标准文件内容一致。源数据属性、处理规则、变量物理意义和量纲继续在数据生产与标准化层与模式输入组织层接受对应检查。OISST的逐点独立参考和ERA5降水单位修订体现了两类机制在数据生命周期中的协同作用。</w:t>
      </w:r>
    </w:p>
    <w:p>
      <w:r>
        <w:rPr>
          <w:rFonts w:ascii="Times New Roman" w:hAnsi="Times New Roman" w:eastAsia="宋体"/>
        </w:rPr>
        <w:t>本文以“可信分发”概括标准产品标识和内容完整性可核验的分发机制。多镜像提供获取路径冗余，候选顺序组织尝试过程，完整性元数据确保正式目录接收与登记产品一致的文件。校园网实验进一步呈现FTP与Zenodo等价副本在真实网络路径中的内容一致性。</w:t>
      </w:r>
    </w:p>
    <w:p>
      <w:pPr>
        <w:pStyle w:val="Heading2"/>
      </w:pPr>
      <w:r>
        <w:rPr>
          <w:rFonts w:ascii="Times New Roman" w:hAnsi="Times New Roman" w:eastAsia="宋体"/>
        </w:rPr>
        <w:t>5.4 从标准产品到模式输入：接口层面的“模型就绪”</w:t>
      </w:r>
    </w:p>
    <w:p>
      <w:r>
        <w:rPr>
          <w:rFonts w:ascii="Times New Roman" w:hAnsi="Times New Roman" w:eastAsia="宋体"/>
        </w:rPr>
        <w:t>标准化NetCDF是模式输入组织的起点。地球系统模式还需要把多个产品映射到共同格点，组合参数字段，建立时间轴，并衔接变量单位和模型接口所需的数据结构。US-NR1案例中，14类陆面产品形成34个模型字段，8类ERA5产品形成8784步逐时气象序列；模式输入组织层字段与底层NetCDF逐点一致，FDOY与独立时间公式一致，降水单位与模型水量换算相衔接。真实陆面参数和气象驱动随后完成Emerald初始化和60 s首步计算。</w:t>
      </w:r>
    </w:p>
    <w:p>
      <w:r>
        <w:rPr>
          <w:rFonts w:ascii="Times New Roman" w:hAnsi="Times New Roman" w:eastAsia="宋体"/>
        </w:rPr>
        <w:t>这些结果体现了模型就绪数据在字段组织、时间轴、量纲衔接和接口运行上的完整路径。本文将“模型就绪”定义为：标准产品经过格点索引、字段组织、时间轴构建和量纲衔接后，形成满足Emerald初始化接口的数据结构。以US-NR1年度案例为基础，相同接口可进一步服务多区域、多年份、不同生态区和长期模型积分。</w:t>
      </w:r>
    </w:p>
    <w:p>
      <w:pPr>
        <w:pStyle w:val="Heading2"/>
      </w:pPr>
      <w:r>
        <w:rPr>
          <w:rFonts w:ascii="Times New Roman" w:hAnsi="Times New Roman" w:eastAsia="宋体"/>
        </w:rPr>
        <w:t>5.5 跨操作系统运行一致性与相关基础设施定位</w:t>
      </w:r>
    </w:p>
    <w:p>
      <w:r>
        <w:rPr>
          <w:rFonts w:ascii="Times New Roman" w:hAnsi="Times New Roman" w:eastAsia="宋体"/>
        </w:rPr>
        <w:t>Windows、macOS和Linux持续集成呈现固定依赖条件下核心数据逻辑的跨操作系统一致性。持续集成覆盖确定性的生产、分发和接口路径，独立环境用于测量性能与镜像状态，真实网络及US-NR1案例呈现实际数据流。核心逻辑、实际性能和真实应用相互补充，形成从软件实现到地学产品及模型接口的分层复现体系。</w:t>
      </w:r>
    </w:p>
    <w:p>
      <w:r>
        <w:rPr>
          <w:rFonts w:ascii="Times New Roman" w:hAnsi="Times New Roman" w:eastAsia="宋体"/>
        </w:rPr>
        <w:t>从基础设施定位看，NetCDF/CF支持多维科学数据的表示与语义约定[2,5]，Earth Engine强调云端地理空间数据计算[3]，ESGF支撑分布式气候模式数据发现与访问[12]，Pangeo及Pangeo Forge侧重云优化数据和可复用生产配方[13-14]。国内地球系统科学数据共享研究同样强调目录体系与规范分类对跨团队复用的作用[15]；Pooch与STAC分别提供文件获取注册和广义地理空间资产描述[16-17]。FAIR4RS原则强调研究软件的持续演化和版本记录[18]，TRUST原则强调数字资源库的透明度与技术能力[19]，国家科学数据中心的FAIR实践进一步展示了标准化元数据和清晰使用信息的重要性[20]。GriddingMachine面向全球规则网格产品进入Julia模型工作流的应用场景，以稳定标签连接机构存储、公共镜像、离线缓存和模式输入，其特色是将上游生产契约、标准NetCDF、轻量目录、事务式多镜像获取和下游模型字段组织纳入同一生命周期。</w:t>
      </w:r>
    </w:p>
    <w:p>
      <w:pPr>
        <w:pStyle w:val="Heading2"/>
      </w:pPr>
      <w:r>
        <w:rPr>
          <w:rFonts w:ascii="Times New Roman" w:hAnsi="Times New Roman" w:eastAsia="宋体"/>
        </w:rPr>
        <w:t>5.6 扩展路径与应用前景</w:t>
      </w:r>
    </w:p>
    <w:p>
      <w:r>
        <w:rPr>
          <w:rFonts w:ascii="Times New Roman" w:hAnsi="Times New Roman" w:eastAsia="宋体"/>
        </w:rPr>
        <w:t>全球规则经纬网构成当前共享生产与读取契约，源适配器为非规则网格、区域投影和复杂坐标进入标准化流程提供扩展入口。围绕OISST、ELEV/LAI、代表性镜像和US-NR1形成的方法与案例，为继续扩展海洋、陆面和大气产品、多区域多年份模型应用及长期积分提供基础。随着公共镜像、完整性元数据、持久化归档和模型适配持续完善，GriddingMachine将进一步增强地球系统数据产品的开放共享、稳定获取和跨模型复用能力。</w:t>
      </w:r>
    </w:p>
    <w:p>
      <w:pPr>
        <w:pStyle w:val="Heading1"/>
      </w:pPr>
      <w:r>
        <w:rPr>
          <w:rFonts w:ascii="Times New Roman" w:hAnsi="Times New Roman" w:eastAsia="宋体"/>
        </w:rPr>
        <w:t>6 结论</w:t>
      </w:r>
    </w:p>
    <w:p>
      <w:r>
        <w:rPr>
          <w:rFonts w:ascii="Times New Roman" w:hAnsi="Times New Roman" w:eastAsia="宋体"/>
        </w:rPr>
        <w:t>本文在2022版GriddingMachine统一网格、标签访问和artifact数据管理基础上，形成由数据生产与标准化层、数据目录与可信分发层和模式输入组织层构成的可执行数据生命周期。新版以共享YAML配置规范和显式源维度映射描述异构源到标准NetCDF的生产契约，以独立目录、直接NetCDF、事务式获取和</w:t>
      </w:r>
      <w:r>
        <w:rPr>
          <w:rFonts w:ascii="Consolas" w:hAnsi="Consolas" w:eastAsia="等线"/>
        </w:rPr>
        <w:t>SIZE</w:t>
      </w:r>
      <w:r>
        <w:rPr>
          <w:rFonts w:ascii="Times New Roman" w:hAnsi="Times New Roman" w:eastAsia="宋体"/>
        </w:rPr>
        <w:t>/SHA-256核验维护稳定数据标识与内容完整性，并以统一读取、陆面参数融合和气象驱动组织连接标准数据与模型接口。</w:t>
      </w:r>
    </w:p>
    <w:p>
      <w:r>
        <w:rPr>
          <w:rFonts w:ascii="Times New Roman" w:hAnsi="Times New Roman" w:eastAsia="宋体"/>
        </w:rPr>
        <w:t>真实产品与分层实验为三个环节提供了对应证据。OISST V2.1产品从四维源结构生成1440×720标准海表温度产品，坐标、有效值掩膜和691 150个物理值与独立参考逐点一致。对于内部压缩的ELEV和LAI，直接NetCDF在环境A中将缓存预热后的端到端中位时间分别降低48.3%和82.9%，在环境B中分别降低53.6%和69.2%；校园网内4个代表性产品通过FTP与Zenodo完成24次内容一致的双镜像获取。US-NR1案例中，14类陆面产品与8类ERA5逐时产品形成参数和气象驱动，8个气象字段的8784个时间步与底层NetCDF逐点一致，并完成Emerald初始化和60 s首步计算。</w:t>
      </w:r>
    </w:p>
    <w:p>
      <w:r>
        <w:rPr>
          <w:rFonts w:ascii="Times New Roman" w:hAnsi="Times New Roman" w:eastAsia="宋体"/>
        </w:rPr>
        <w:t>这些结果表明，GriddingMachine能够把异构源数据生产、标准产品登记与内容完整性核验以及模式输入组织连接为连续数据路径。该框架为数据产品、分发目录和访问软件的独立维护建立统一接口，并为全球网格数据持续扩展、可靠获取和地球系统模式应用提供可复用的基础设施。</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；PPT修订文件以V1_R1后缀发布，逻辑标签保持V1，目录记录其文件大小、SHA-256和机构FTP地址。论文所对应的核心代码版本分别以</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标签固定。研究材料的内容冻结提交、冻结分支及不可变稿件标签由</w:t>
      </w:r>
      <w:r>
        <w:rPr>
          <w:rFonts w:ascii="Consolas" w:hAnsi="Consolas" w:eastAsia="等线"/>
        </w:rPr>
        <w:t>论文/投稿版本锁定.toml</w:t>
      </w:r>
      <w:r>
        <w:rPr>
          <w:rFonts w:ascii="Times New Roman" w:hAnsi="Times New Roman" w:eastAsia="宋体"/>
        </w:rPr>
        <w:t>统一记录；永久归档与DOI信息随最终归档版本同步发布。</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