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配置规范表达源维度、坐标、数值变换和缺失值填补（Gapfill）以及质量控制；数据目录与获取层以逻辑标签连接数据副本，并对登记了文件字节数和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围绕三个相互衔接的生命周期层次组织（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artifacts,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 xml:space="preserve"> artifact</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artifact哈希寻址、多个URL和解包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