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YAML文件明确记录维度、坐标、数值转换和缺失值填补规则；处理完成后，输出NetCDF文件的属性中同步保存实际执行的变更记录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中科大校内网机构 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扩展了不同科研编程环境下的数据获取方式。</w:t>
      </w:r>
    </w:p>
    <w:p>
      <w:r>
        <w:rPr>
          <w:rFonts w:ascii="Times New Roman" w:hAnsi="Times New Roman" w:eastAsia="Songti SC"/>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precipitation/fluxes)[EB/OL]. [2026-09-25]. https://confluence.ecmwf.int/pages/viewpage.action?pageId=197702790.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