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rPr>
        <w:t>面向地球系统模型的全球网格数据生产与可信分发：GriddingMachine框架更新与应用</w:t>
      </w:r>
    </w:p>
    <w:p>
      <w:r>
        <w:rPr>
          <w:rFonts w:ascii="Times New Roman" w:hAnsi="Times New Roman" w:eastAsia="宋体"/>
          <w:b/>
        </w:rPr>
        <w:t>姜皓（Hao Jiang）</w:t>
      </w:r>
      <w:r>
        <w:rPr>
          <w:rFonts w:ascii="Times New Roman" w:hAnsi="Times New Roman" w:eastAsia="宋体"/>
        </w:rPr>
        <w:t>^1，</w:t>
      </w:r>
      <w:r>
        <w:rPr>
          <w:rFonts w:ascii="Times New Roman" w:hAnsi="Times New Roman" w:eastAsia="宋体"/>
          <w:b/>
        </w:rPr>
        <w:t>王玉杰（Yujie Wang）</w:t>
      </w:r>
      <w:r>
        <w:rPr>
          <w:rFonts w:ascii="Times New Roman" w:hAnsi="Times New Roman" w:eastAsia="宋体"/>
        </w:rPr>
        <w:t>^1*</w:t>
      </w:r>
    </w:p>
    <w:p>
      <w:r>
        <w:rPr>
          <w:rFonts w:ascii="Times New Roman" w:hAnsi="Times New Roman" w:eastAsia="宋体"/>
        </w:rPr>
        <w:t>1. 中国科学技术大学地球和空间科学学院，安徽 合肥 230026</w:t>
      </w:r>
    </w:p>
    <w:p>
      <w:r>
        <w:rPr>
          <w:rFonts w:ascii="Times New Roman" w:hAnsi="Times New Roman" w:eastAsia="宋体"/>
        </w:rPr>
        <w:t>姜皓，E-mail：hao.jiang@mail.ustc.edu.cn；ORCID：https://orcid.org/0009-0009-8295-8661</w:t>
      </w:r>
    </w:p>
    <w:p>
      <w:r>
        <w:rPr>
          <w:rFonts w:ascii="Times New Roman" w:hAnsi="Times New Roman" w:eastAsia="宋体"/>
        </w:rPr>
        <w:t>\* 通讯作者：王玉杰，wyujie@ustc.edu.cn</w:t>
      </w:r>
    </w:p>
    <w:p>
      <w:pPr>
        <w:pStyle w:val="Heading1"/>
      </w:pPr>
      <w:r>
        <w:rPr>
          <w:rFonts w:ascii="Times New Roman" w:hAnsi="Times New Roman" w:eastAsia="宋体"/>
        </w:rPr>
        <w:t>摘要</w:t>
      </w:r>
    </w:p>
    <w:p>
      <w:r>
        <w:rPr>
          <w:rFonts w:ascii="Times New Roman" w:hAnsi="Times New Roman" w:eastAsia="宋体"/>
        </w:rPr>
        <w:t>多源全球网格数据在维度结构、坐标方向、数值缩放、缺失值处理和分发位置等方面具有显著差异，对地球系统模型输入的标准化生产与稳定获取提出了统一化需求。本文在2022版GriddingMachine基础上构建贯通数据生产、质量控制、多镜像分发、统一读取和模型调用的数据生命周期框架。新版以共享配置规范（schema）和YAML驱动源维度映射、坐标转换、数值变换与缺失值填补（Gapfill），采用独立目录管理逻辑路径、镜像地址及完整性元数据，通过直接NetCDF和事务式缓存实现可信获取。应用端进一步提供标签驱动的标准网格数据访问、格点尺度陆面参数融合与气象驱动组织，实现标准产品向模型就绪输入的转换。NOAA OISST V2.1产品由四维源结构转换为1440×720标准网格，691 150个有效格点与独立参考逐点一致；两个内部压缩产品采用直接NetCDF后，缓存预热的端到端中位时间在两个独立运行环境中分别降低48.3%～82.9%和53.6%～69.2%；校园网内4个代表性产品经FTP和Zenodo完成24次下载，文件大小与SHA-256均与目录登记值一致；14类陆面产品生成US-NR1参数字典并进入Emerald模型初始化。新版GriddingMachine由此形成面向全球规则网格数据的可配置生产、可信分发和模型就绪应用框架，为地球系统数据产品的持续维护与复用提供轻量化基础设施。</w:t>
      </w:r>
    </w:p>
    <w:p>
      <w:r>
        <w:rPr>
          <w:rFonts w:ascii="Times New Roman" w:hAnsi="Times New Roman" w:eastAsia="宋体"/>
          <w:b/>
        </w:rPr>
        <w:t>关键词：</w:t>
      </w:r>
      <w:r>
        <w:rPr>
          <w:rFonts w:ascii="Times New Roman" w:hAnsi="Times New Roman" w:eastAsia="宋体"/>
        </w:rPr>
        <w:t xml:space="preserve"> 地球系统模型；全球网格数据；数据生命周期；NetCDF；可信分发；数据完整性</w:t>
      </w:r>
    </w:p>
    <w:p>
      <w:r>
        <w:rPr>
          <w:rFonts w:ascii="Times New Roman" w:hAnsi="Times New Roman" w:eastAsia="宋体"/>
          <w:b/>
        </w:rPr>
        <w:t>English title:</w:t>
      </w:r>
      <w:r>
        <w:rPr>
          <w:rFonts w:ascii="Times New Roman" w:hAnsi="Times New Roman" w:eastAsia="宋体"/>
        </w:rPr>
        <w:t xml:space="preserve"> Production and Trustworthy Distribution of Global Gridded Data for Earth System Models: Framework Advances and Applications of GriddingMachine</w:t>
      </w:r>
    </w:p>
    <w:p>
      <w:r>
        <w:rPr>
          <w:rFonts w:ascii="Times New Roman" w:hAnsi="Times New Roman" w:eastAsia="宋体"/>
          <w:b/>
        </w:rPr>
        <w:t>Authors:</w:t>
      </w:r>
      <w:r>
        <w:rPr>
          <w:rFonts w:ascii="Times New Roman" w:hAnsi="Times New Roman" w:eastAsia="宋体"/>
        </w:rPr>
        <w:t xml:space="preserve"> Hao Jiang^1, Yujie Wang^1*</w:t>
      </w:r>
    </w:p>
    <w:p>
      <w:r>
        <w:rPr>
          <w:rFonts w:ascii="Times New Roman" w:hAnsi="Times New Roman" w:eastAsia="宋体"/>
        </w:rPr>
        <w:t>1. School of Earth and Space Sciences, University of Science and Technology of China, Hefei 230026, China</w:t>
      </w:r>
    </w:p>
    <w:p>
      <w:r>
        <w:rPr>
          <w:rFonts w:ascii="Times New Roman" w:hAnsi="Times New Roman" w:eastAsia="宋体"/>
        </w:rPr>
        <w:t>Hao Jiang, E-mail: hao.jiang@mail.ustc.edu.cn; ORCID: https://orcid.org/0009-0009-8295-8661</w:t>
      </w:r>
    </w:p>
    <w:p>
      <w:r>
        <w:rPr>
          <w:rFonts w:ascii="Times New Roman" w:hAnsi="Times New Roman" w:eastAsia="宋体"/>
        </w:rPr>
        <w:t>\* Corresponding author: Yujie Wang, wyujie@ustc.edu.cn</w:t>
      </w:r>
    </w:p>
    <w:p>
      <w:pPr>
        <w:pStyle w:val="Heading1"/>
      </w:pPr>
      <w:r>
        <w:rPr>
          <w:rFonts w:ascii="Times New Roman" w:hAnsi="Times New Roman" w:eastAsia="宋体"/>
        </w:rPr>
        <w:t>Abstract</w:t>
      </w:r>
    </w:p>
    <w:p>
      <w:r>
        <w:rPr>
          <w:rFonts w:ascii="Times New Roman" w:hAnsi="Times New Roman" w:eastAsia="宋体"/>
        </w:rPr>
        <w:t>Multi-source global gridded data differ substantially in dimensional structure, coordinate orientation, numerical scaling, missing-value treatment, and distribution location, creating a demand for standardized production and reliable access to Earth system model inputs. Building on the 2022 release, this study develops GriddingMachine as an integrated lifecycle framework for data production, quality control, multi-mirror distribution, unified reading, and model use. A shared schema and YAML configuration drive source-dimension mapping, coordinate and numerical transformations, and gap filling; an independent catalog manages logical paths, mirrors, and integrity metadata; and direct NetCDF with transactional caching supports verified acquisition. The application layer further provides tag-based access to standardized gridded data, grid-scale synthesis of land parameters, and assembly of meteorological forcing, converting standardized products into model-ready inputs. A NOAA OISST V2.1 product was transformed from a four-dimensional source structure to a standardized 1440 × 720 grid, with 691,150 finite cells matching an independently decoded reference point by point. Direct NetCDF reduced median warm-cache end-to-end time for two internally compressed products by 48.3%–82.9% and 53.6%–69.2% in two independent runtime environments. Four representative products were downloaded 24 times from FTP and Zenodo on the campus network, with file sizes and SHA-256 digests matching their catalog records. Fourteen land products generated a parameter dictionary for US-NR1 and entered Emerald model initialization. The updated GriddingMachine provides a lightweight infrastructure for configurable production, integrity-aware distribution, and model-ready use of global regular-grid data.</w:t>
      </w:r>
    </w:p>
    <w:p>
      <w:r>
        <w:rPr>
          <w:rFonts w:ascii="Times New Roman" w:hAnsi="Times New Roman" w:eastAsia="宋体"/>
          <w:b/>
        </w:rPr>
        <w:t>Keywords:</w:t>
      </w:r>
      <w:r>
        <w:rPr>
          <w:rFonts w:ascii="Times New Roman" w:hAnsi="Times New Roman" w:eastAsia="宋体"/>
        </w:rPr>
        <w:t xml:space="preserve"> Earth system modeling; global gridded data; data lifecycle; NetCDF; trustworthy distribution; data integrity</w:t>
      </w:r>
    </w:p>
    <w:p>
      <w:pPr>
        <w:pStyle w:val="Heading1"/>
      </w:pPr>
      <w:r>
        <w:rPr>
          <w:rFonts w:ascii="Times New Roman" w:hAnsi="Times New Roman" w:eastAsia="宋体"/>
        </w:rPr>
        <w:t>1 引言</w:t>
      </w:r>
    </w:p>
    <w:p>
      <w:r>
        <w:rPr>
          <w:rFonts w:ascii="Times New Roman" w:hAnsi="Times New Roman" w:eastAsia="宋体"/>
        </w:rPr>
        <w:t>地球系统模型正在以更高的空间分辨率和更精细的过程表达描述陆地、大气、海洋及其相互作用。模型复杂度的提升使参数化、初始条件、边界条件、气象驱动和结果评估越来越依赖多源全球网格数据。此类数据通常由多个研究团队和业务机构生产，呈现多样的文件格式、空间投影、维度顺序、经纬度方向、时间组织、单位、缩放方式、缺失值表示和元数据结构。研究人员需要串联数据发现、下载、重投影、重排、缩放、质量检查和模型接口适配，进而把“可获得的数据”转化为可稳定、正确且可重复调用的模型输入。</w:t>
      </w:r>
    </w:p>
    <w:p>
      <w:r>
        <w:rPr>
          <w:rFonts w:ascii="Times New Roman" w:hAnsi="Times New Roman" w:eastAsia="宋体"/>
        </w:rPr>
        <w:t>科学数据管理正在由单纯的数据公开转向强调可发现、可获取、可互操作和可复用的 FAIR 原则[1]。NetCDF 具有自描述、跨平台和适合多维数组等特点，已广泛用于地球科学数据交换；CF 元数据约定进一步通过坐标、物理量、单位和时空属性描述促进不同数据源之间的解释与处理[2]。Google Earth Engine 等云平台显著提升了大尺度遥感数据的访问和分析能力[3]。机构服务器、团队存储和云平台共同构成当前地学数据分发生态，其中离线使用、固定版本和模型直接调用等场景尤其需要统一格式、独立目录、稳定镜像和可复现转换流程。</w:t>
      </w:r>
    </w:p>
    <w:p>
      <w:r>
        <w:rPr>
          <w:rFonts w:ascii="Times New Roman" w:hAnsi="Times New Roman" w:eastAsia="宋体"/>
        </w:rPr>
        <w:t>王玉杰等[4]于2022年提出GriddingMachine，将常用于陆面和地球系统模拟的全球数据处理为具有统一空间和变量约定的NetCDF文件，并通过标签、</w:t>
      </w:r>
      <w:r>
        <w:rPr>
          <w:rFonts w:ascii="Consolas" w:hAnsi="Consolas" w:eastAsia="等线"/>
        </w:rPr>
        <w:t>Artifacts.toml</w:t>
      </w:r>
      <w:r>
        <w:rPr>
          <w:rFonts w:ascii="Times New Roman" w:hAnsi="Times New Roman" w:eastAsia="宋体"/>
        </w:rPr>
        <w:t>和Julia artifact机制实现数据管理和自动下载，同时提供Julia、MATLAB、Octave、Python和R接口。旧版目录已经记录SHA-1、SHA-256和一个或多个下载URL，数据标准也已规定经纬度方向、空间分辨率、变量名称、缺失值、单位、引用信息和处理日志。</w:t>
      </w:r>
    </w:p>
    <w:p>
      <w:r>
        <w:rPr>
          <w:rFonts w:ascii="Times New Roman" w:hAnsi="Times New Roman" w:eastAsia="宋体"/>
        </w:rPr>
        <w:t>本文以这些既有设计为基础，将数据源专用处理提升为共享、可复用的生产契约，使数据目录具备独立演化能力，以事务缓存支持直接NetCDF获取，并通过统一接口组织模型输入。旧版</w:t>
      </w:r>
      <w:r>
        <w:rPr>
          <w:rFonts w:ascii="Consolas" w:hAnsi="Consolas" w:eastAsia="等线"/>
        </w:rPr>
        <w:t>tar.gz</w:t>
      </w:r>
      <w:r>
        <w:rPr>
          <w:rFonts w:ascii="Times New Roman" w:hAnsi="Times New Roman" w:eastAsia="宋体"/>
        </w:rPr>
        <w:t>分发单元和随软件发布更新的目录为生命周期升级提供了明确基线。</w:t>
      </w:r>
    </w:p>
    <w:p>
      <w:r>
        <w:rPr>
          <w:rFonts w:ascii="Times New Roman" w:hAnsi="Times New Roman" w:eastAsia="宋体"/>
        </w:rPr>
        <w:t>从相关技术体系看，NetCDF以维度、变量和属性构成机器无关的多维科学数据抽象[5]，地球系统数据立方体则强调对多变量时空数据的共同组织和分析[6]；Julia通过多重派发和专业化兼顾高层抽象与科学计算性能[7]。与此同时，软件引用原则要求科研软件具有可识别、可持续、可访问和可归属的版本记录[8]。这些工作分别支撑文件表达、多变量分析、计算实现和软件引用；本文进一步把相关能力连接为“异构数据生产—多镜像分发—内容完整性保障—模型输入组织”的领域闭环。</w:t>
      </w:r>
    </w:p>
    <w:p>
      <w:r>
        <w:rPr>
          <w:rFonts w:ascii="Times New Roman" w:hAnsi="Times New Roman" w:eastAsia="宋体"/>
        </w:rPr>
        <w:t>本研究将GriddingMachine由标准数据集合与标签化访问工具扩展为面向全球规则网格数据的可执行生命周期框架。其核心推进体现在三个相互衔接的层面：生产端以共享YAML契约统一表达源维度、坐标、数值变换、Gapfill和质量控制，形成可复用的标准NetCDF生产流程；分发端以独立目录连接机构FTP、Zenodo及其他社区镜像，并通过直接NetCDF、事务式缓存和</w:t>
      </w:r>
      <w:r>
        <w:rPr>
          <w:rFonts w:ascii="Consolas" w:hAnsi="Consolas" w:eastAsia="等线"/>
        </w:rPr>
        <w:t>SIZE/SHA256</w:t>
      </w:r>
      <w:r>
        <w:rPr>
          <w:rFonts w:ascii="Times New Roman" w:hAnsi="Times New Roman" w:eastAsia="宋体"/>
        </w:rPr>
        <w:t>构建内容一致的可信分发链；应用端以统一读取和模型输入组织连接标准数据产品与Emerald。</w:t>
      </w:r>
    </w:p>
    <w:p>
      <w:r>
        <w:rPr>
          <w:rFonts w:ascii="Times New Roman" w:hAnsi="Times New Roman" w:eastAsia="宋体"/>
        </w:rPr>
        <w:t>本文通过OISST产品转换、ELEV/LAI分发效率、FTP—Zenodo镜像访问和</w:t>
      </w:r>
      <w:r>
        <w:rPr>
          <w:rFonts w:ascii="Consolas" w:hAnsi="Consolas" w:eastAsia="等线"/>
        </w:rPr>
        <w:t>gm2</w:t>
      </w:r>
      <w:r>
        <w:rPr>
          <w:rFonts w:ascii="Times New Roman" w:hAnsi="Times New Roman" w:eastAsia="宋体"/>
        </w:rPr>
        <w:t>陆面参数应用，分别呈现该框架的标准化正确性、数据获取效率、内容完整性和模型适配能力。</w:t>
      </w:r>
    </w:p>
    <w:p>
      <w:pPr>
        <w:pStyle w:val="Heading1"/>
      </w:pPr>
      <w:r>
        <w:rPr>
          <w:rFonts w:ascii="Times New Roman" w:hAnsi="Times New Roman" w:eastAsia="宋体"/>
        </w:rPr>
        <w:t>2 框架设计与关键方法</w:t>
      </w:r>
    </w:p>
    <w:p>
      <w:pPr>
        <w:pStyle w:val="Heading2"/>
      </w:pPr>
      <w:r>
        <w:rPr>
          <w:rFonts w:ascii="Times New Roman" w:hAnsi="Times New Roman" w:eastAsia="宋体"/>
        </w:rPr>
        <w:t>2.1 总体架构与数据生命周期</w:t>
      </w:r>
    </w:p>
    <w:p>
      <w:r>
        <w:rPr>
          <w:rFonts w:ascii="Times New Roman" w:hAnsi="Times New Roman" w:eastAsia="宋体"/>
        </w:rPr>
        <w:t xml:space="preserve">GriddingMachine 新版由数据生产、目录与分发、数据使用三个相互衔接的部分组成（图1）。数据生产端由 </w:t>
      </w:r>
      <w:r>
        <w:rPr>
          <w:rFonts w:ascii="Consolas" w:hAnsi="Consolas" w:eastAsia="等线"/>
        </w:rPr>
        <w:t>GriddingMachineDatasets</w:t>
      </w:r>
      <w:r>
        <w:rPr>
          <w:rFonts w:ascii="Times New Roman" w:hAnsi="Times New Roman" w:eastAsia="宋体"/>
        </w:rPr>
        <w:t xml:space="preserve"> 承担，负责把来源、结构和数值约定不同的地学数据转换为满足 GriddingMachine 规范的 NetCDF 产品；目录与分发部分负责保存标准数据产品、维护标签与镜像地址之间的映射，并使数据目录能够独立于 </w:t>
      </w:r>
      <w:r>
        <w:rPr>
          <w:rFonts w:ascii="Consolas" w:hAnsi="Consolas" w:eastAsia="等线"/>
        </w:rPr>
        <w:t>GriddingMachine.jl</w:t>
      </w:r>
      <w:r>
        <w:rPr>
          <w:rFonts w:ascii="Times New Roman" w:hAnsi="Times New Roman" w:eastAsia="宋体"/>
        </w:rPr>
        <w:t xml:space="preserve"> 软件包版本更新；数据使用端由 </w:t>
      </w:r>
      <w:r>
        <w:rPr>
          <w:rFonts w:ascii="Consolas" w:hAnsi="Consolas" w:eastAsia="等线"/>
        </w:rPr>
        <w:t>GriddingMachine.jl</w:t>
      </w:r>
      <w:r>
        <w:rPr>
          <w:rFonts w:ascii="Times New Roman" w:hAnsi="Times New Roman" w:eastAsia="宋体"/>
        </w:rPr>
        <w:t xml:space="preserve"> 承担，负责数据发现、下载、落盘、读取以及向地球系统模型提供参数和气象驱动。三部分共同形成“生产—质控—发布—发现—下载—读取—模型调用”的数据生命周期。</w:t>
      </w:r>
    </w:p>
    <w:p>
      <w:pPr>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图1_GriddingMachine总体架构_终稿.png"/>
                    <pic:cNvPicPr/>
                  </pic:nvPicPr>
                  <pic:blipFill>
                    <a:blip r:embed="rId9"/>
                    <a:stretch>
                      <a:fillRect/>
                    </a:stretch>
                  </pic:blipFill>
                  <pic:spPr>
                    <a:xfrm>
                      <a:off x="0" y="0"/>
                      <a:ext cx="5400000" cy="3037500"/>
                    </a:xfrm>
                    <a:prstGeom prst="rect"/>
                  </pic:spPr>
                </pic:pic>
              </a:graphicData>
            </a:graphic>
          </wp:inline>
        </w:drawing>
      </w:r>
    </w:p>
    <w:p>
      <w:pPr>
        <w:ind w:firstLine="0"/>
      </w:pPr>
      <w:r>
        <w:rPr>
          <w:rFonts w:ascii="Times New Roman" w:hAnsi="Times New Roman" w:eastAsia="宋体"/>
          <w:b/>
        </w:rPr>
        <w:t>图1 GriddingMachine从2022版基线到新版端到端工作流的架构更新</w:t>
      </w:r>
      <w:r>
        <w:rPr>
          <w:rFonts w:ascii="Times New Roman" w:hAnsi="Times New Roman" w:eastAsia="宋体"/>
        </w:rPr>
        <w:t xml:space="preserve"> （a）2022版以数据集专用脚本、</w:t>
      </w:r>
      <w:r>
        <w:rPr>
          <w:rFonts w:ascii="Consolas" w:hAnsi="Consolas" w:eastAsia="等线"/>
        </w:rPr>
        <w:t>tar.gz</w:t>
      </w:r>
      <w:r>
        <w:rPr>
          <w:rFonts w:ascii="Times New Roman" w:hAnsi="Times New Roman" w:eastAsia="宋体"/>
        </w:rPr>
        <w:t>制品、包内数据目录和</w:t>
      </w:r>
      <w:r>
        <w:rPr>
          <w:rFonts w:ascii="Consolas" w:hAnsi="Consolas" w:eastAsia="等线"/>
        </w:rPr>
        <w:t>read_LUT</w:t>
      </w:r>
      <w:r>
        <w:rPr>
          <w:rFonts w:ascii="Times New Roman" w:hAnsi="Times New Roman" w:eastAsia="宋体"/>
        </w:rPr>
        <w:t>构成数据预处理、分发与读取路径；（b）新版以共享YAML契约连接异构源数据、标准化与质量控制、标准NetCDF产品、独立数据目录、事务式获取以及统一读取和模型调用，形成贯通数据生产、可信分发与模型应用的端到端工作流；（c）O1—O5依次表示统一数据契约、简化数据制品、目录独立演化、事务式下载和模型就绪接口。橙色虚线标示各项更新相对于2022版基线及新版核心节点的对应关系。</w:t>
      </w:r>
    </w:p>
    <w:p>
      <w:pPr>
        <w:ind w:firstLine="0"/>
      </w:pPr>
      <w:r>
        <w:rPr>
          <w:rFonts w:ascii="Times New Roman" w:hAnsi="Times New Roman" w:eastAsia="宋体"/>
          <w:b/>
        </w:rPr>
        <w:t>Fig. 1 Architectural updates from the 2022 GriddingMachine baseline to the updated end-to-end workflow.</w:t>
      </w:r>
      <w:r>
        <w:rPr>
          <w:rFonts w:ascii="Times New Roman" w:hAnsi="Times New Roman" w:eastAsia="宋体"/>
        </w:rPr>
        <w:t xml:space="preserve"> (a) The 2022 release connected dataset-specific scripts, </w:t>
      </w:r>
      <w:r>
        <w:rPr>
          <w:rFonts w:ascii="Consolas" w:hAnsi="Consolas" w:eastAsia="等线"/>
        </w:rPr>
        <w:t>tar.gz</w:t>
      </w:r>
      <w:r>
        <w:rPr>
          <w:rFonts w:ascii="Times New Roman" w:hAnsi="Times New Roman" w:eastAsia="宋体"/>
        </w:rPr>
        <w:t xml:space="preserve"> artifacts, an in-package catalog, and </w:t>
      </w:r>
      <w:r>
        <w:rPr>
          <w:rFonts w:ascii="Consolas" w:hAnsi="Consolas" w:eastAsia="等线"/>
        </w:rPr>
        <w:t>read_LUT</w:t>
      </w:r>
      <w:r>
        <w:rPr>
          <w:rFonts w:ascii="Times New Roman" w:hAnsi="Times New Roman" w:eastAsia="宋体"/>
        </w:rPr>
        <w:t xml:space="preserve"> across data preprocessing, distribution, and access. (b) The updated workflow uses a shared YAML contract to connect heterogeneous source data, standardization and quality control, standard NetCDF products, an independent catalog, transactional acquisition, and unified reading and model invocation, thereby integrating data production, trusted distribution, and model application. (c) O1--O5 denote the unified data contract, simplified data artifacts, independent catalog evolution, transactional downloads, and model-ready interfaces. Orange dashed lines map these updates to the corresponding baseline components and core nodes in the updated workflow.</w:t>
      </w:r>
    </w:p>
    <w:p>
      <w:r>
        <w:rPr>
          <w:rFonts w:ascii="Times New Roman" w:hAnsi="Times New Roman" w:eastAsia="宋体"/>
        </w:rPr>
        <w:t>在生产端，原始数据及其处理规则分别作为数据输入和YAML配置输入。新版使用共享schema描述原始文件组合、源变量、经纬度方向、源维度语义、数值变换、有效范围、Gapfill及输出元数据；配置构建器与处理流水线调用同一schema。</w:t>
      </w:r>
      <w:r>
        <w:rPr>
          <w:rFonts w:ascii="Consolas" w:hAnsi="Consolas" w:eastAsia="等线"/>
        </w:rPr>
        <w:t>process_dataset!</w:t>
      </w:r>
      <w:r>
        <w:rPr>
          <w:rFonts w:ascii="Times New Roman" w:hAnsi="Times New Roman" w:eastAsia="宋体"/>
        </w:rPr>
        <w:t>根据配置枚举输入，依次完成读取、标准化、质量控制和保存，最终生成以统一标签命名的</w:t>
      </w:r>
      <w:r>
        <w:rPr>
          <w:rFonts w:ascii="Consolas" w:hAnsi="Consolas" w:eastAsia="等线"/>
        </w:rPr>
        <w:t>TAG.nc</w:t>
      </w:r>
      <w:r>
        <w:rPr>
          <w:rFonts w:ascii="Times New Roman" w:hAnsi="Times New Roman" w:eastAsia="宋体"/>
        </w:rPr>
        <w:t>。维度、坐标、数值和空间方向检查嵌入生产流程，使标准产品在生成阶段即具有清晰的数据语义。</w:t>
      </w:r>
    </w:p>
    <w:p>
      <w:r>
        <w:rPr>
          <w:rFonts w:ascii="Times New Roman" w:hAnsi="Times New Roman" w:eastAsia="宋体"/>
        </w:rPr>
        <w:t>通过质量控制的数据产品可发布到机构FTP、HTTP(S)服务或Zenodo等公共存储位置。一个标签可以对应多个镜像地址；独立的</w:t>
      </w:r>
      <w:r>
        <w:rPr>
          <w:rFonts w:ascii="Consolas" w:hAnsi="Consolas" w:eastAsia="等线"/>
        </w:rPr>
        <w:t>Artifacts.yaml</w:t>
      </w:r>
      <w:r>
        <w:rPr>
          <w:rFonts w:ascii="Times New Roman" w:hAnsi="Times New Roman" w:eastAsia="宋体"/>
        </w:rPr>
        <w:t>登记相对路径、URL、文件字节数和SHA-256。</w:t>
      </w:r>
      <w:r>
        <w:rPr>
          <w:rFonts w:ascii="Consolas" w:hAnsi="Consolas" w:eastAsia="等线"/>
        </w:rPr>
        <w:t>GriddingMachineDatasets</w:t>
      </w:r>
      <w:r>
        <w:rPr>
          <w:rFonts w:ascii="Times New Roman" w:hAnsi="Times New Roman" w:eastAsia="宋体"/>
        </w:rPr>
        <w:t>的目录生成函数从权威本地文件计算完整性字段并事务式写入YAML，数据发布与目录登记由清晰接口衔接。目录与</w:t>
      </w:r>
      <w:r>
        <w:rPr>
          <w:rFonts w:ascii="Consolas" w:hAnsi="Consolas" w:eastAsia="等线"/>
        </w:rPr>
        <w:t>GriddingMachine.jl</w:t>
      </w:r>
      <w:r>
        <w:rPr>
          <w:rFonts w:ascii="Times New Roman" w:hAnsi="Times New Roman" w:eastAsia="宋体"/>
        </w:rPr>
        <w:t>分开维护，使数据列表能够独立演化。</w:t>
      </w:r>
    </w:p>
    <w:p>
      <w:r>
        <w:rPr>
          <w:rFonts w:ascii="Times New Roman" w:hAnsi="Times New Roman" w:eastAsia="宋体"/>
        </w:rPr>
        <w:t>在数据使用端，Collector的</w:t>
      </w:r>
      <w:r>
        <w:rPr>
          <w:rFonts w:ascii="Consolas" w:hAnsi="Consolas" w:eastAsia="等线"/>
        </w:rPr>
        <w:t>configure!</w:t>
      </w:r>
      <w:r>
        <w:rPr>
          <w:rFonts w:ascii="Times New Roman" w:hAnsi="Times New Roman" w:eastAsia="宋体"/>
        </w:rPr>
        <w:t>显式设置数据根目录与目录来源。目录下载经临时文件完成schema校验和事务式替换，并保留上一有效版本。</w:t>
      </w:r>
      <w:r>
        <w:rPr>
          <w:rFonts w:ascii="Consolas" w:hAnsi="Consolas" w:eastAsia="等线"/>
        </w:rPr>
        <w:t>download_dataset!</w:t>
      </w:r>
      <w:r>
        <w:rPr>
          <w:rFonts w:ascii="Times New Roman" w:hAnsi="Times New Roman" w:eastAsia="宋体"/>
        </w:rPr>
        <w:t>提取各URL的主机名，以可获得的平均往返延迟辅助确定候选顺序，同时保留全部镜像并依次回退。每次调用创建独立</w:t>
      </w:r>
      <w:r>
        <w:rPr>
          <w:rFonts w:ascii="Consolas" w:hAnsi="Consolas" w:eastAsia="等线"/>
        </w:rPr>
        <w:t>.part</w:t>
      </w:r>
      <w:r>
        <w:rPr>
          <w:rFonts w:ascii="Times New Roman" w:hAnsi="Times New Roman" w:eastAsia="宋体"/>
        </w:rPr>
        <w:t>文件，文件通过</w:t>
      </w:r>
      <w:r>
        <w:rPr>
          <w:rFonts w:ascii="Consolas" w:hAnsi="Consolas" w:eastAsia="等线"/>
        </w:rPr>
        <w:t>SIZE</w:t>
      </w:r>
      <w:r>
        <w:rPr>
          <w:rFonts w:ascii="Times New Roman" w:hAnsi="Times New Roman" w:eastAsia="宋体"/>
        </w:rPr>
        <w:t>和</w:t>
      </w:r>
      <w:r>
        <w:rPr>
          <w:rFonts w:ascii="Consolas" w:hAnsi="Consolas" w:eastAsia="等线"/>
        </w:rPr>
        <w:t>SHA256</w:t>
      </w:r>
      <w:r>
        <w:rPr>
          <w:rFonts w:ascii="Times New Roman" w:hAnsi="Times New Roman" w:eastAsia="宋体"/>
        </w:rPr>
        <w:t>核验后进入</w:t>
      </w:r>
      <w:r>
        <w:rPr>
          <w:rFonts w:ascii="Consolas" w:hAnsi="Consolas" w:eastAsia="等线"/>
        </w:rPr>
        <w:t>public</w:t>
      </w:r>
      <w:r>
        <w:rPr>
          <w:rFonts w:ascii="Times New Roman" w:hAnsi="Times New Roman" w:eastAsia="宋体"/>
        </w:rPr>
        <w:t>，历史目录则通过兼容模式继续提供数据获取能力。</w:t>
      </w:r>
    </w:p>
    <w:p>
      <w:r>
        <w:rPr>
          <w:rFonts w:ascii="Times New Roman" w:hAnsi="Times New Roman" w:eastAsia="宋体"/>
        </w:rPr>
        <w:t>Indexer提供标签驱动的整场、指定周期及站点读取，并进一步完成格点尺度陆面参数融合与气象驱动组织。14类</w:t>
      </w:r>
      <w:r>
        <w:rPr>
          <w:rFonts w:ascii="Consolas" w:hAnsi="Consolas" w:eastAsia="等线"/>
        </w:rPr>
        <w:t>gm2</w:t>
      </w:r>
      <w:r>
        <w:rPr>
          <w:rFonts w:ascii="Times New Roman" w:hAnsi="Times New Roman" w:eastAsia="宋体"/>
        </w:rPr>
        <w:t>产品贯通陆面参数链路并进入Emerald初始化，使可信分发的数据产品直接进入模型应用。</w:t>
      </w:r>
    </w:p>
    <w:p>
      <w:r>
        <w:rPr>
          <w:rFonts w:ascii="Times New Roman" w:hAnsi="Times New Roman" w:eastAsia="宋体"/>
        </w:rPr>
        <w:t>共享YAML、独立目录与统一读取接口共同改变了GriddingMachine的维护单元：数据处理规则由配置契约表达，数据产品与镜像由目录版本管理，模型应用继续使用稳定标签。数据产品、分发目录和访问软件由此能够在保持接口一致的条件下分别演化，形成贯通生产、发布和应用的可维护数据生命周期。</w:t>
      </w:r>
    </w:p>
    <w:p>
      <w:r>
        <w:rPr>
          <w:rFonts w:ascii="Times New Roman" w:hAnsi="Times New Roman" w:eastAsia="宋体"/>
        </w:rPr>
        <w:t>表1概括2022版与新版的主要差异及其在数据生命周期中的作用。</w:t>
      </w:r>
    </w:p>
    <w:p>
      <w:pPr>
        <w:ind w:firstLine="0"/>
      </w:pPr>
      <w:r>
        <w:rPr>
          <w:rFonts w:ascii="Times New Roman" w:hAnsi="Times New Roman" w:eastAsia="宋体"/>
          <w:b/>
        </w:rPr>
        <w:t>表1 2022版与新版GriddingMachine的功能和技术路线比较</w:t>
      </w:r>
    </w:p>
    <w:tbl>
      <w:tblPr>
        <w:tblStyle w:val="TableGrid"/>
        <w:tblW w:type="auto" w:w="0"/>
        <w:tblLook w:firstColumn="1" w:firstRow="1" w:lastColumn="0" w:lastRow="0" w:noHBand="0" w:noVBand="1" w:val="04A0"/>
      </w:tblPr>
      <w:tblGrid>
        <w:gridCol w:w="2295"/>
        <w:gridCol w:w="2295"/>
        <w:gridCol w:w="2295"/>
        <w:gridCol w:w="2295"/>
      </w:tblGrid>
      <w:tr>
        <w:tc>
          <w:tcPr>
            <w:tcW w:type="dxa" w:w="2295"/>
            <w:shd w:fill="D9EAF7"/>
          </w:tcPr>
          <w:p>
            <w:r>
              <w:rPr>
                <w:b/>
                <w:sz w:val="18"/>
              </w:rPr>
            </w:r>
            <w:r>
              <w:rPr>
                <w:rFonts w:ascii="Times New Roman" w:hAnsi="Times New Roman" w:eastAsia="宋体"/>
                <w:b/>
                <w:sz w:val="18"/>
              </w:rPr>
              <w:t>环节</w:t>
            </w:r>
          </w:p>
        </w:tc>
        <w:tc>
          <w:tcPr>
            <w:tcW w:type="dxa" w:w="2295"/>
            <w:shd w:fill="D9EAF7"/>
          </w:tcPr>
          <w:p>
            <w:r>
              <w:rPr>
                <w:b/>
                <w:sz w:val="18"/>
              </w:rPr>
            </w:r>
            <w:r>
              <w:rPr>
                <w:rFonts w:ascii="Times New Roman" w:hAnsi="Times New Roman" w:eastAsia="宋体"/>
                <w:b/>
                <w:sz w:val="18"/>
              </w:rPr>
              <w:t>2022版</w:t>
            </w:r>
          </w:p>
        </w:tc>
        <w:tc>
          <w:tcPr>
            <w:tcW w:type="dxa" w:w="2295"/>
            <w:shd w:fill="D9EAF7"/>
          </w:tcPr>
          <w:p>
            <w:r>
              <w:rPr>
                <w:b/>
                <w:sz w:val="18"/>
              </w:rPr>
            </w:r>
            <w:r>
              <w:rPr>
                <w:rFonts w:ascii="Times New Roman" w:hAnsi="Times New Roman" w:eastAsia="宋体"/>
                <w:b/>
                <w:sz w:val="18"/>
              </w:rPr>
              <w:t>新版</w:t>
            </w:r>
          </w:p>
        </w:tc>
        <w:tc>
          <w:tcPr>
            <w:tcW w:type="dxa" w:w="2295"/>
            <w:shd w:fill="D9EAF7"/>
          </w:tcPr>
          <w:p>
            <w:r>
              <w:rPr>
                <w:b/>
                <w:sz w:val="18"/>
              </w:rPr>
            </w:r>
            <w:r>
              <w:rPr>
                <w:rFonts w:ascii="Times New Roman" w:hAnsi="Times New Roman" w:eastAsia="宋体"/>
                <w:b/>
                <w:sz w:val="18"/>
              </w:rPr>
              <w:t>应用价值</w:t>
            </w:r>
          </w:p>
        </w:tc>
      </w:tr>
      <w:tr>
        <w:tc>
          <w:tcPr>
            <w:tcW w:type="dxa" w:w="2295"/>
          </w:tcPr>
          <w:p>
            <w:r>
              <w:rPr>
                <w:sz w:val="18"/>
              </w:rPr>
            </w:r>
            <w:r>
              <w:rPr>
                <w:rFonts w:ascii="Times New Roman" w:hAnsi="Times New Roman" w:eastAsia="宋体"/>
                <w:sz w:val="18"/>
              </w:rPr>
              <w:t>分发单元</w:t>
            </w:r>
          </w:p>
        </w:tc>
        <w:tc>
          <w:tcPr>
            <w:tcW w:type="dxa" w:w="2295"/>
          </w:tcPr>
          <w:p>
            <w:r>
              <w:rPr>
                <w:sz w:val="18"/>
              </w:rPr>
            </w:r>
            <w:r>
              <w:rPr>
                <w:rFonts w:ascii="Times New Roman" w:hAnsi="Times New Roman" w:eastAsia="宋体"/>
                <w:sz w:val="18"/>
              </w:rPr>
              <w:t>NetCDF的</w:t>
            </w:r>
            <w:r>
              <w:rPr>
                <w:rFonts w:ascii="Consolas" w:hAnsi="Consolas" w:eastAsia="等线"/>
                <w:sz w:val="18"/>
              </w:rPr>
              <w:t>tar.gz</w:t>
            </w:r>
            <w:r>
              <w:rPr>
                <w:rFonts w:ascii="Times New Roman" w:hAnsi="Times New Roman" w:eastAsia="宋体"/>
                <w:sz w:val="18"/>
              </w:rPr>
              <w:t xml:space="preserve"> artifact</w:t>
            </w:r>
          </w:p>
        </w:tc>
        <w:tc>
          <w:tcPr>
            <w:tcW w:type="dxa" w:w="2295"/>
          </w:tcPr>
          <w:p>
            <w:r>
              <w:rPr>
                <w:sz w:val="18"/>
              </w:rPr>
            </w:r>
            <w:r>
              <w:rPr>
                <w:rFonts w:ascii="Times New Roman" w:hAnsi="Times New Roman" w:eastAsia="宋体"/>
                <w:sz w:val="18"/>
              </w:rPr>
              <w:t>可直接读取的</w:t>
            </w:r>
            <w:r>
              <w:rPr>
                <w:rFonts w:ascii="Consolas" w:hAnsi="Consolas" w:eastAsia="等线"/>
                <w:sz w:val="18"/>
              </w:rPr>
              <w:t>.nc</w:t>
            </w:r>
          </w:p>
        </w:tc>
        <w:tc>
          <w:tcPr>
            <w:tcW w:type="dxa" w:w="2295"/>
          </w:tcPr>
          <w:p>
            <w:r>
              <w:rPr>
                <w:sz w:val="18"/>
              </w:rPr>
            </w:r>
            <w:r>
              <w:rPr>
                <w:rFonts w:ascii="Times New Roman" w:hAnsi="Times New Roman" w:eastAsia="宋体"/>
                <w:sz w:val="18"/>
              </w:rPr>
              <w:t>简化数据获取并降低端到端读取时间</w:t>
            </w:r>
          </w:p>
        </w:tc>
      </w:tr>
      <w:tr>
        <w:tc>
          <w:tcPr>
            <w:tcW w:type="dxa" w:w="2295"/>
          </w:tcPr>
          <w:p>
            <w:r>
              <w:rPr>
                <w:sz w:val="18"/>
              </w:rPr>
            </w:r>
            <w:r>
              <w:rPr>
                <w:rFonts w:ascii="Times New Roman" w:hAnsi="Times New Roman" w:eastAsia="宋体"/>
                <w:sz w:val="18"/>
              </w:rPr>
              <w:t>数据目录</w:t>
            </w:r>
          </w:p>
        </w:tc>
        <w:tc>
          <w:tcPr>
            <w:tcW w:type="dxa" w:w="2295"/>
          </w:tcPr>
          <w:p>
            <w:r>
              <w:rPr>
                <w:sz w:val="18"/>
              </w:rPr>
            </w:r>
            <w:r>
              <w:rPr>
                <w:rFonts w:ascii="Times New Roman" w:hAnsi="Times New Roman" w:eastAsia="宋体"/>
                <w:sz w:val="18"/>
              </w:rPr>
              <w:t>软件内置</w:t>
            </w:r>
            <w:r>
              <w:rPr>
                <w:rFonts w:ascii="Consolas" w:hAnsi="Consolas" w:eastAsia="等线"/>
                <w:sz w:val="18"/>
              </w:rPr>
              <w:t>Artifacts.toml</w:t>
            </w:r>
          </w:p>
        </w:tc>
        <w:tc>
          <w:tcPr>
            <w:tcW w:type="dxa" w:w="2295"/>
          </w:tcPr>
          <w:p>
            <w:r>
              <w:rPr>
                <w:sz w:val="18"/>
              </w:rPr>
            </w:r>
            <w:r>
              <w:rPr>
                <w:rFonts w:ascii="Times New Roman" w:hAnsi="Times New Roman" w:eastAsia="宋体"/>
                <w:sz w:val="18"/>
              </w:rPr>
              <w:t>独立</w:t>
            </w:r>
            <w:r>
              <w:rPr>
                <w:rFonts w:ascii="Consolas" w:hAnsi="Consolas" w:eastAsia="等线"/>
                <w:sz w:val="18"/>
              </w:rPr>
              <w:t>Artifacts.yaml</w:t>
            </w:r>
            <w:r>
              <w:rPr>
                <w:rFonts w:ascii="Times New Roman" w:hAnsi="Times New Roman" w:eastAsia="宋体"/>
                <w:sz w:val="18"/>
              </w:rPr>
              <w:t>；schema校验、事务更新和版本备份</w:t>
            </w:r>
          </w:p>
        </w:tc>
        <w:tc>
          <w:tcPr>
            <w:tcW w:type="dxa" w:w="2295"/>
          </w:tcPr>
          <w:p>
            <w:r>
              <w:rPr>
                <w:sz w:val="18"/>
              </w:rPr>
            </w:r>
            <w:r>
              <w:rPr>
                <w:rFonts w:ascii="Times New Roman" w:hAnsi="Times New Roman" w:eastAsia="宋体"/>
                <w:sz w:val="18"/>
              </w:rPr>
              <w:t>数据产品可独立于软件版本持续扩展</w:t>
            </w:r>
          </w:p>
        </w:tc>
      </w:tr>
      <w:tr>
        <w:tc>
          <w:tcPr>
            <w:tcW w:type="dxa" w:w="2295"/>
          </w:tcPr>
          <w:p>
            <w:r>
              <w:rPr>
                <w:sz w:val="18"/>
              </w:rPr>
            </w:r>
            <w:r>
              <w:rPr>
                <w:rFonts w:ascii="Times New Roman" w:hAnsi="Times New Roman" w:eastAsia="宋体"/>
                <w:sz w:val="18"/>
              </w:rPr>
              <w:t>下载</w:t>
            </w:r>
          </w:p>
        </w:tc>
        <w:tc>
          <w:tcPr>
            <w:tcW w:type="dxa" w:w="2295"/>
          </w:tcPr>
          <w:p>
            <w:r>
              <w:rPr>
                <w:sz w:val="18"/>
              </w:rPr>
            </w:r>
            <w:r>
              <w:rPr>
                <w:rFonts w:ascii="Times New Roman" w:hAnsi="Times New Roman" w:eastAsia="宋体"/>
                <w:sz w:val="18"/>
              </w:rPr>
              <w:t>artifact哈希寻址、多个URL和解包</w:t>
            </w:r>
          </w:p>
        </w:tc>
        <w:tc>
          <w:tcPr>
            <w:tcW w:type="dxa" w:w="2295"/>
          </w:tcPr>
          <w:p>
            <w:r>
              <w:rPr>
                <w:sz w:val="18"/>
              </w:rPr>
            </w:r>
            <w:r>
              <w:rPr>
                <w:rFonts w:ascii="Times New Roman" w:hAnsi="Times New Roman" w:eastAsia="宋体"/>
                <w:sz w:val="18"/>
              </w:rPr>
              <w:t>延迟探测辅助排序；多URL回退、独立缓存及</w:t>
            </w:r>
            <w:r>
              <w:rPr>
                <w:rFonts w:ascii="Consolas" w:hAnsi="Consolas" w:eastAsia="等线"/>
                <w:sz w:val="18"/>
              </w:rPr>
              <w:t>SIZE/SHA256</w:t>
            </w:r>
            <w:r>
              <w:rPr>
                <w:rFonts w:ascii="Times New Roman" w:hAnsi="Times New Roman" w:eastAsia="宋体"/>
                <w:sz w:val="18"/>
              </w:rPr>
              <w:t>校验后落盘</w:t>
            </w:r>
          </w:p>
        </w:tc>
        <w:tc>
          <w:tcPr>
            <w:tcW w:type="dxa" w:w="2295"/>
          </w:tcPr>
          <w:p>
            <w:r>
              <w:rPr>
                <w:sz w:val="18"/>
              </w:rPr>
            </w:r>
            <w:r>
              <w:rPr>
                <w:rFonts w:ascii="Times New Roman" w:hAnsi="Times New Roman" w:eastAsia="宋体"/>
                <w:sz w:val="18"/>
              </w:rPr>
              <w:t>兼顾机构镜像速度、公共镜像可达性和内容完整性</w:t>
            </w:r>
          </w:p>
        </w:tc>
      </w:tr>
      <w:tr>
        <w:tc>
          <w:tcPr>
            <w:tcW w:type="dxa" w:w="2295"/>
          </w:tcPr>
          <w:p>
            <w:r>
              <w:rPr>
                <w:sz w:val="18"/>
              </w:rPr>
            </w:r>
            <w:r>
              <w:rPr>
                <w:rFonts w:ascii="Times New Roman" w:hAnsi="Times New Roman" w:eastAsia="宋体"/>
                <w:sz w:val="18"/>
              </w:rPr>
              <w:t>读取</w:t>
            </w:r>
          </w:p>
        </w:tc>
        <w:tc>
          <w:tcPr>
            <w:tcW w:type="dxa" w:w="2295"/>
          </w:tcPr>
          <w:p>
            <w:r>
              <w:rPr>
                <w:sz w:val="18"/>
              </w:rPr>
            </w:r>
            <w:r>
              <w:rPr>
                <w:rFonts w:ascii="Consolas" w:hAnsi="Consolas" w:eastAsia="等线"/>
                <w:sz w:val="18"/>
              </w:rPr>
              <w:t>read_LUT</w:t>
            </w:r>
          </w:p>
        </w:tc>
        <w:tc>
          <w:tcPr>
            <w:tcW w:type="dxa" w:w="2295"/>
          </w:tcPr>
          <w:p>
            <w:r>
              <w:rPr>
                <w:sz w:val="18"/>
              </w:rPr>
            </w:r>
            <w:r>
              <w:rPr>
                <w:rFonts w:ascii="Consolas" w:hAnsi="Consolas" w:eastAsia="等线"/>
                <w:sz w:val="18"/>
              </w:rPr>
              <w:t>read_dataset</w:t>
            </w:r>
            <w:r>
              <w:rPr>
                <w:rFonts w:ascii="Times New Roman" w:hAnsi="Times New Roman" w:eastAsia="宋体"/>
                <w:sz w:val="18"/>
              </w:rPr>
              <w:t>，旧名称保留为别名</w:t>
            </w:r>
          </w:p>
        </w:tc>
        <w:tc>
          <w:tcPr>
            <w:tcW w:type="dxa" w:w="2295"/>
          </w:tcPr>
          <w:p>
            <w:r>
              <w:rPr>
                <w:sz w:val="18"/>
              </w:rPr>
            </w:r>
            <w:r>
              <w:rPr>
                <w:rFonts w:ascii="Times New Roman" w:hAnsi="Times New Roman" w:eastAsia="宋体"/>
                <w:sz w:val="18"/>
              </w:rPr>
              <w:t>全球规则经纬网整场、周期和站点读取</w:t>
            </w:r>
          </w:p>
        </w:tc>
      </w:tr>
      <w:tr>
        <w:tc>
          <w:tcPr>
            <w:tcW w:type="dxa" w:w="2295"/>
          </w:tcPr>
          <w:p>
            <w:r>
              <w:rPr>
                <w:sz w:val="18"/>
              </w:rPr>
            </w:r>
            <w:r>
              <w:rPr>
                <w:rFonts w:ascii="Times New Roman" w:hAnsi="Times New Roman" w:eastAsia="宋体"/>
                <w:sz w:val="18"/>
              </w:rPr>
              <w:t>模型组织</w:t>
            </w:r>
          </w:p>
        </w:tc>
        <w:tc>
          <w:tcPr>
            <w:tcW w:type="dxa" w:w="2295"/>
          </w:tcPr>
          <w:p>
            <w:r>
              <w:rPr>
                <w:sz w:val="18"/>
              </w:rPr>
            </w:r>
            <w:r>
              <w:rPr>
                <w:rFonts w:ascii="Times New Roman" w:hAnsi="Times New Roman" w:eastAsia="宋体"/>
                <w:sz w:val="18"/>
              </w:rPr>
              <w:t>标准化数据和通用读取</w:t>
            </w:r>
          </w:p>
        </w:tc>
        <w:tc>
          <w:tcPr>
            <w:tcW w:type="dxa" w:w="2295"/>
          </w:tcPr>
          <w:p>
            <w:r>
              <w:rPr>
                <w:sz w:val="18"/>
              </w:rPr>
            </w:r>
            <w:r>
              <w:rPr>
                <w:rFonts w:ascii="Times New Roman" w:hAnsi="Times New Roman" w:eastAsia="宋体"/>
                <w:sz w:val="18"/>
              </w:rPr>
              <w:t>陆面参数融合与气象驱动组织（</w:t>
            </w:r>
            <w:r>
              <w:rPr>
                <w:rFonts w:ascii="Consolas" w:hAnsi="Consolas" w:eastAsia="等线"/>
                <w:sz w:val="18"/>
              </w:rPr>
              <w:t>grid_dict</w:t>
            </w:r>
            <w:r>
              <w:rPr>
                <w:rFonts w:ascii="Times New Roman" w:hAnsi="Times New Roman" w:eastAsia="宋体"/>
                <w:sz w:val="18"/>
              </w:rPr>
              <w:t>与</w:t>
            </w:r>
            <w:r>
              <w:rPr>
                <w:rFonts w:ascii="Consolas" w:hAnsi="Consolas" w:eastAsia="等线"/>
                <w:sz w:val="18"/>
              </w:rPr>
              <w:t>grid_weather</w:t>
            </w:r>
            <w:r>
              <w:rPr>
                <w:rFonts w:ascii="Times New Roman" w:hAnsi="Times New Roman" w:eastAsia="宋体"/>
                <w:sz w:val="18"/>
              </w:rPr>
              <w:t>）</w:t>
            </w:r>
          </w:p>
        </w:tc>
        <w:tc>
          <w:tcPr>
            <w:tcW w:type="dxa" w:w="2295"/>
          </w:tcPr>
          <w:p>
            <w:r>
              <w:rPr>
                <w:sz w:val="18"/>
              </w:rPr>
            </w:r>
            <w:r>
              <w:rPr>
                <w:rFonts w:ascii="Times New Roman" w:hAnsi="Times New Roman" w:eastAsia="宋体"/>
                <w:sz w:val="18"/>
              </w:rPr>
              <w:t>标准产品进入Emerald参数组织与模型初始化</w:t>
            </w:r>
          </w:p>
        </w:tc>
      </w:tr>
      <w:tr>
        <w:tc>
          <w:tcPr>
            <w:tcW w:type="dxa" w:w="2295"/>
          </w:tcPr>
          <w:p>
            <w:r>
              <w:rPr>
                <w:sz w:val="18"/>
              </w:rPr>
            </w:r>
            <w:r>
              <w:rPr>
                <w:rFonts w:ascii="Times New Roman" w:hAnsi="Times New Roman" w:eastAsia="宋体"/>
                <w:sz w:val="18"/>
              </w:rPr>
              <w:t>数据生产</w:t>
            </w:r>
          </w:p>
        </w:tc>
        <w:tc>
          <w:tcPr>
            <w:tcW w:type="dxa" w:w="2295"/>
          </w:tcPr>
          <w:p>
            <w:r>
              <w:rPr>
                <w:sz w:val="18"/>
              </w:rPr>
            </w:r>
            <w:r>
              <w:rPr>
                <w:rFonts w:ascii="Times New Roman" w:hAnsi="Times New Roman" w:eastAsia="宋体"/>
                <w:sz w:val="18"/>
              </w:rPr>
              <w:t>数据源专用处理及贡献流程</w:t>
            </w:r>
          </w:p>
        </w:tc>
        <w:tc>
          <w:tcPr>
            <w:tcW w:type="dxa" w:w="2295"/>
          </w:tcPr>
          <w:p>
            <w:r>
              <w:rPr>
                <w:sz w:val="18"/>
              </w:rPr>
            </w:r>
            <w:r>
              <w:rPr>
                <w:rFonts w:ascii="Times New Roman" w:hAnsi="Times New Roman" w:eastAsia="宋体"/>
                <w:sz w:val="18"/>
              </w:rPr>
              <w:t>共享YAML schema、程序化与交互式配置生成及显式源维度映射</w:t>
            </w:r>
          </w:p>
        </w:tc>
        <w:tc>
          <w:tcPr>
            <w:tcW w:type="dxa" w:w="2295"/>
          </w:tcPr>
          <w:p>
            <w:r>
              <w:rPr>
                <w:sz w:val="18"/>
              </w:rPr>
            </w:r>
            <w:r>
              <w:rPr>
                <w:rFonts w:ascii="Times New Roman" w:hAnsi="Times New Roman" w:eastAsia="宋体"/>
                <w:sz w:val="18"/>
              </w:rPr>
              <w:t>形成可复用、可扩展的标准产品生产工作流</w:t>
            </w:r>
          </w:p>
        </w:tc>
      </w:tr>
    </w:tbl>
    <w:p>
      <w:pPr>
        <w:ind w:firstLine="0"/>
      </w:pPr>
      <w:r>
        <w:rPr>
          <w:rFonts w:ascii="Times New Roman" w:hAnsi="Times New Roman" w:eastAsia="宋体"/>
          <w:b/>
        </w:rPr>
        <w:t>Table 1 Comparison between the 2022 release and the updated GriddingMachine.</w:t>
      </w:r>
      <w:r>
        <w:rPr>
          <w:rFonts w:ascii="Times New Roman" w:hAnsi="Times New Roman" w:eastAsia="宋体"/>
        </w:rPr>
        <w:t xml:space="preserve"> The table summarizes the implemented mechanisms, workflow advances, and application value across the data lifecycle.</w:t>
      </w:r>
    </w:p>
    <w:p>
      <w:pPr>
        <w:pStyle w:val="Heading2"/>
      </w:pPr>
      <w:r>
        <w:rPr>
          <w:rFonts w:ascii="Times New Roman" w:hAnsi="Times New Roman" w:eastAsia="宋体"/>
        </w:rPr>
        <w:t>2.2 YAML驱动的标准数据生产</w:t>
      </w:r>
    </w:p>
    <w:p>
      <w:pPr>
        <w:pStyle w:val="Heading3"/>
      </w:pPr>
      <w:r>
        <w:rPr>
          <w:rFonts w:ascii="Times New Roman" w:hAnsi="Times New Roman" w:eastAsia="宋体"/>
        </w:rPr>
        <w:t>2.2.1 数据契约与维度映射</w:t>
      </w:r>
    </w:p>
    <w:p>
      <w:r>
        <w:rPr>
          <w:rFonts w:ascii="Times New Roman" w:hAnsi="Times New Roman" w:eastAsia="宋体"/>
        </w:rPr>
        <w:t xml:space="preserve">GriddingMachine 以 NetCDF 作为标准数据格式，原因是该格式能够在同一文件中保存多维数组、坐标和自描述元数据，并被多种地球科学软件读取。2022 年版本已经规定数据采用二维或三维规则经纬网，前两维依次为经度和纬度，可选第三维表示周期；经度自西向东、纬度自南向北，输出保存为实际物理值，缺失值在读取后统一表示为 </w:t>
      </w:r>
      <w:r>
        <w:rPr>
          <w:rFonts w:ascii="Consolas" w:hAnsi="Consolas" w:eastAsia="等线"/>
        </w:rPr>
        <w:t>NaN</w:t>
      </w:r>
      <w:r>
        <w:rPr>
          <w:rFonts w:ascii="Times New Roman" w:hAnsi="Times New Roman" w:eastAsia="宋体"/>
        </w:rPr>
        <w:t xml:space="preserve">，主变量和不确定性变量分别命名为 </w:t>
      </w:r>
      <w:r>
        <w:rPr>
          <w:rFonts w:ascii="Consolas" w:hAnsi="Consolas" w:eastAsia="等线"/>
        </w:rPr>
        <w:t>data</w:t>
      </w:r>
      <w:r>
        <w:rPr>
          <w:rFonts w:ascii="Times New Roman" w:hAnsi="Times New Roman" w:eastAsia="宋体"/>
        </w:rPr>
        <w:t xml:space="preserve"> 和 </w:t>
      </w:r>
      <w:r>
        <w:rPr>
          <w:rFonts w:ascii="Consolas" w:hAnsi="Consolas" w:eastAsia="等线"/>
        </w:rPr>
        <w:t>std</w:t>
      </w:r>
      <w:r>
        <w:rPr>
          <w:rFonts w:ascii="Times New Roman" w:hAnsi="Times New Roman" w:eastAsia="宋体"/>
        </w:rPr>
        <w:t>[4]。新版延续这些核心约定，并将源维度映射、处理记录、版本化配置和分发完整性纳入相互衔接的机器可读规范（表2）。</w:t>
      </w:r>
    </w:p>
    <w:p>
      <w:pPr>
        <w:ind w:firstLine="0"/>
      </w:pPr>
      <w:r>
        <w:rPr>
          <w:rFonts w:ascii="Times New Roman" w:hAnsi="Times New Roman" w:eastAsia="宋体"/>
          <w:b/>
        </w:rPr>
        <w:t>表2 GriddingMachine 标准 NetCDF 数据与元数据规范</w:t>
      </w:r>
    </w:p>
    <w:tbl>
      <w:tblPr>
        <w:tblStyle w:val="TableGrid"/>
        <w:tblW w:type="auto" w:w="0"/>
        <w:tblLook w:firstColumn="1" w:firstRow="1" w:lastColumn="0" w:lastRow="0" w:noHBand="0" w:noVBand="1" w:val="04A0"/>
      </w:tblPr>
      <w:tblGrid>
        <w:gridCol w:w="3060"/>
        <w:gridCol w:w="3060"/>
        <w:gridCol w:w="3060"/>
      </w:tblGrid>
      <w:tr>
        <w:tc>
          <w:tcPr>
            <w:tcW w:type="dxa" w:w="3060"/>
            <w:shd w:fill="D9EAF7"/>
          </w:tcPr>
          <w:p>
            <w:r>
              <w:rPr>
                <w:b/>
                <w:sz w:val="18"/>
              </w:rPr>
            </w:r>
            <w:r>
              <w:rPr>
                <w:rFonts w:ascii="Times New Roman" w:hAnsi="Times New Roman" w:eastAsia="宋体"/>
                <w:b/>
                <w:sz w:val="18"/>
              </w:rPr>
              <w:t>类别</w:t>
            </w:r>
          </w:p>
        </w:tc>
        <w:tc>
          <w:tcPr>
            <w:tcW w:type="dxa" w:w="3060"/>
            <w:shd w:fill="D9EAF7"/>
          </w:tcPr>
          <w:p>
            <w:r>
              <w:rPr>
                <w:b/>
                <w:sz w:val="18"/>
              </w:rPr>
            </w:r>
            <w:r>
              <w:rPr>
                <w:rFonts w:ascii="Times New Roman" w:hAnsi="Times New Roman" w:eastAsia="宋体"/>
                <w:b/>
                <w:sz w:val="18"/>
              </w:rPr>
              <w:t>新版规范</w:t>
            </w:r>
          </w:p>
        </w:tc>
        <w:tc>
          <w:tcPr>
            <w:tcW w:type="dxa" w:w="3060"/>
            <w:shd w:fill="D9EAF7"/>
          </w:tcPr>
          <w:p>
            <w:r>
              <w:rPr>
                <w:b/>
                <w:sz w:val="18"/>
              </w:rPr>
            </w:r>
            <w:r>
              <w:rPr>
                <w:rFonts w:ascii="Times New Roman" w:hAnsi="Times New Roman" w:eastAsia="宋体"/>
                <w:b/>
                <w:sz w:val="18"/>
              </w:rPr>
              <w:t>实现方式</w:t>
            </w:r>
          </w:p>
        </w:tc>
      </w:tr>
      <w:tr>
        <w:tc>
          <w:tcPr>
            <w:tcW w:type="dxa" w:w="3060"/>
          </w:tcPr>
          <w:p>
            <w:r>
              <w:rPr>
                <w:sz w:val="18"/>
              </w:rPr>
            </w:r>
            <w:r>
              <w:rPr>
                <w:rFonts w:ascii="Times New Roman" w:hAnsi="Times New Roman" w:eastAsia="宋体"/>
                <w:sz w:val="18"/>
              </w:rPr>
              <w:t>文件与网格</w:t>
            </w:r>
          </w:p>
        </w:tc>
        <w:tc>
          <w:tcPr>
            <w:tcW w:type="dxa" w:w="3060"/>
          </w:tcPr>
          <w:p>
            <w:r>
              <w:rPr>
                <w:sz w:val="18"/>
              </w:rPr>
            </w:r>
            <w:r>
              <w:rPr>
                <w:rFonts w:ascii="Times New Roman" w:hAnsi="Times New Roman" w:eastAsia="宋体"/>
                <w:sz w:val="18"/>
              </w:rPr>
              <w:t>一个标签对应一个可直接读取的</w:t>
            </w:r>
            <w:r>
              <w:rPr>
                <w:rFonts w:ascii="Consolas" w:hAnsi="Consolas" w:eastAsia="等线"/>
                <w:sz w:val="18"/>
              </w:rPr>
              <w:t>.nc</w:t>
            </w:r>
            <w:r>
              <w:rPr>
                <w:rFonts w:ascii="Times New Roman" w:hAnsi="Times New Roman" w:eastAsia="宋体"/>
                <w:sz w:val="18"/>
              </w:rPr>
              <w:t>；规则经纬度网格，默认全球覆盖并声明坐标参考</w:t>
            </w:r>
          </w:p>
        </w:tc>
        <w:tc>
          <w:tcPr>
            <w:tcW w:type="dxa" w:w="3060"/>
          </w:tcPr>
          <w:p>
            <w:r>
              <w:rPr>
                <w:sz w:val="18"/>
              </w:rPr>
            </w:r>
            <w:r>
              <w:rPr>
                <w:rFonts w:ascii="Times New Roman" w:hAnsi="Times New Roman" w:eastAsia="宋体"/>
                <w:sz w:val="18"/>
              </w:rPr>
              <w:t>NetCDF统一保存数据、坐标与自描述元数据</w:t>
            </w:r>
          </w:p>
        </w:tc>
      </w:tr>
      <w:tr>
        <w:tc>
          <w:tcPr>
            <w:tcW w:type="dxa" w:w="3060"/>
          </w:tcPr>
          <w:p>
            <w:r>
              <w:rPr>
                <w:sz w:val="18"/>
              </w:rPr>
            </w:r>
            <w:r>
              <w:rPr>
                <w:rFonts w:ascii="Times New Roman" w:hAnsi="Times New Roman" w:eastAsia="宋体"/>
                <w:sz w:val="18"/>
              </w:rPr>
              <w:t>维度</w:t>
            </w:r>
          </w:p>
        </w:tc>
        <w:tc>
          <w:tcPr>
            <w:tcW w:type="dxa" w:w="3060"/>
          </w:tcPr>
          <w:p>
            <w:r>
              <w:rPr>
                <w:sz w:val="18"/>
              </w:rPr>
            </w:r>
            <w:r>
              <w:rPr>
                <w:rFonts w:ascii="Times New Roman" w:hAnsi="Times New Roman" w:eastAsia="宋体"/>
                <w:sz w:val="18"/>
              </w:rPr>
              <w:t>二维</w:t>
            </w:r>
            <w:r>
              <w:rPr>
                <w:rFonts w:ascii="Consolas" w:hAnsi="Consolas" w:eastAsia="等线"/>
                <w:sz w:val="18"/>
              </w:rPr>
              <w:t>(lon, lat)</w:t>
            </w:r>
            <w:r>
              <w:rPr>
                <w:rFonts w:ascii="Times New Roman" w:hAnsi="Times New Roman" w:eastAsia="宋体"/>
                <w:sz w:val="18"/>
              </w:rPr>
              <w:t>；三维</w:t>
            </w:r>
            <w:r>
              <w:rPr>
                <w:rFonts w:ascii="Consolas" w:hAnsi="Consolas" w:eastAsia="等线"/>
                <w:sz w:val="18"/>
              </w:rPr>
              <w:t>(lon, lat, ind)</w:t>
            </w:r>
            <w:r>
              <w:rPr>
                <w:rFonts w:ascii="Times New Roman" w:hAnsi="Times New Roman" w:eastAsia="宋体"/>
                <w:sz w:val="18"/>
              </w:rPr>
              <w:t>；源维度按名称映射到标准顺序</w:t>
            </w:r>
          </w:p>
        </w:tc>
        <w:tc>
          <w:tcPr>
            <w:tcW w:type="dxa" w:w="3060"/>
          </w:tcPr>
          <w:p>
            <w:r>
              <w:rPr>
                <w:sz w:val="18"/>
              </w:rPr>
            </w:r>
            <w:r>
              <w:rPr>
                <w:rFonts w:ascii="Times New Roman" w:hAnsi="Times New Roman" w:eastAsia="宋体"/>
                <w:sz w:val="18"/>
              </w:rPr>
              <w:t>通用维度映射将多种源排列转换为统一结构</w:t>
            </w:r>
          </w:p>
        </w:tc>
      </w:tr>
      <w:tr>
        <w:tc>
          <w:tcPr>
            <w:tcW w:type="dxa" w:w="3060"/>
          </w:tcPr>
          <w:p>
            <w:r>
              <w:rPr>
                <w:sz w:val="18"/>
              </w:rPr>
            </w:r>
            <w:r>
              <w:rPr>
                <w:rFonts w:ascii="Times New Roman" w:hAnsi="Times New Roman" w:eastAsia="宋体"/>
                <w:sz w:val="18"/>
              </w:rPr>
              <w:t>坐标方向</w:t>
            </w:r>
          </w:p>
        </w:tc>
        <w:tc>
          <w:tcPr>
            <w:tcW w:type="dxa" w:w="3060"/>
          </w:tcPr>
          <w:p>
            <w:r>
              <w:rPr>
                <w:sz w:val="18"/>
              </w:rPr>
            </w:r>
            <w:r>
              <w:rPr>
                <w:rFonts w:ascii="Consolas" w:hAnsi="Consolas" w:eastAsia="等线"/>
                <w:sz w:val="18"/>
              </w:rPr>
              <w:t>lon</w:t>
            </w:r>
            <w:r>
              <w:rPr>
                <w:rFonts w:ascii="Times New Roman" w:hAnsi="Times New Roman" w:eastAsia="宋体"/>
                <w:sz w:val="18"/>
              </w:rPr>
              <w:t>自西向东并统一到</w:t>
            </w:r>
            <w:r>
              <w:rPr>
                <w:rFonts w:ascii="Consolas" w:hAnsi="Consolas" w:eastAsia="等线"/>
                <w:sz w:val="18"/>
              </w:rPr>
              <w:t>[-180, 180)</w:t>
            </w:r>
            <w:r>
              <w:rPr>
                <w:rFonts w:ascii="Times New Roman" w:hAnsi="Times New Roman" w:eastAsia="宋体"/>
                <w:sz w:val="18"/>
              </w:rPr>
              <w:t>；</w:t>
            </w:r>
            <w:r>
              <w:rPr>
                <w:rFonts w:ascii="Consolas" w:hAnsi="Consolas" w:eastAsia="等线"/>
                <w:sz w:val="18"/>
              </w:rPr>
              <w:t>lat</w:t>
            </w:r>
            <w:r>
              <w:rPr>
                <w:rFonts w:ascii="Times New Roman" w:hAnsi="Times New Roman" w:eastAsia="宋体"/>
                <w:sz w:val="18"/>
              </w:rPr>
              <w:t>自南向北</w:t>
            </w:r>
          </w:p>
        </w:tc>
        <w:tc>
          <w:tcPr>
            <w:tcW w:type="dxa" w:w="3060"/>
          </w:tcPr>
          <w:p>
            <w:r>
              <w:rPr>
                <w:sz w:val="18"/>
              </w:rPr>
            </w:r>
            <w:r>
              <w:rPr>
                <w:rFonts w:ascii="Times New Roman" w:hAnsi="Times New Roman" w:eastAsia="宋体"/>
                <w:sz w:val="18"/>
              </w:rPr>
              <w:t>翻转和循环平移保持数据与坐标同步</w:t>
            </w:r>
          </w:p>
        </w:tc>
      </w:tr>
      <w:tr>
        <w:tc>
          <w:tcPr>
            <w:tcW w:type="dxa" w:w="3060"/>
          </w:tcPr>
          <w:p>
            <w:r>
              <w:rPr>
                <w:sz w:val="18"/>
              </w:rPr>
            </w:r>
            <w:r>
              <w:rPr>
                <w:rFonts w:ascii="Times New Roman" w:hAnsi="Times New Roman" w:eastAsia="宋体"/>
                <w:sz w:val="18"/>
              </w:rPr>
              <w:t>数据变量</w:t>
            </w:r>
          </w:p>
        </w:tc>
        <w:tc>
          <w:tcPr>
            <w:tcW w:type="dxa" w:w="3060"/>
          </w:tcPr>
          <w:p>
            <w:r>
              <w:rPr>
                <w:sz w:val="18"/>
              </w:rPr>
            </w:r>
            <w:r>
              <w:rPr>
                <w:rFonts w:ascii="Consolas" w:hAnsi="Consolas" w:eastAsia="等线"/>
                <w:sz w:val="18"/>
              </w:rPr>
              <w:t>data</w:t>
            </w:r>
            <w:r>
              <w:rPr>
                <w:rFonts w:ascii="Times New Roman" w:hAnsi="Times New Roman" w:eastAsia="宋体"/>
                <w:sz w:val="18"/>
              </w:rPr>
              <w:t>为主变量；</w:t>
            </w:r>
            <w:r>
              <w:rPr>
                <w:rFonts w:ascii="Consolas" w:hAnsi="Consolas" w:eastAsia="等线"/>
                <w:sz w:val="18"/>
              </w:rPr>
              <w:t>std</w:t>
            </w:r>
            <w:r>
              <w:rPr>
                <w:rFonts w:ascii="Times New Roman" w:hAnsi="Times New Roman" w:eastAsia="宋体"/>
                <w:sz w:val="18"/>
              </w:rPr>
              <w:t>保存同形不确定性；输出为实际物理值</w:t>
            </w:r>
          </w:p>
        </w:tc>
        <w:tc>
          <w:tcPr>
            <w:tcW w:type="dxa" w:w="3060"/>
          </w:tcPr>
          <w:p>
            <w:r>
              <w:rPr>
                <w:sz w:val="18"/>
              </w:rPr>
            </w:r>
            <w:r>
              <w:rPr>
                <w:rFonts w:ascii="Times New Roman" w:hAnsi="Times New Roman" w:eastAsia="宋体"/>
                <w:sz w:val="18"/>
              </w:rPr>
              <w:t>统一变量命名、类型、单位和数值表达</w:t>
            </w:r>
          </w:p>
        </w:tc>
      </w:tr>
      <w:tr>
        <w:tc>
          <w:tcPr>
            <w:tcW w:type="dxa" w:w="3060"/>
          </w:tcPr>
          <w:p>
            <w:r>
              <w:rPr>
                <w:sz w:val="18"/>
              </w:rPr>
            </w:r>
            <w:r>
              <w:rPr>
                <w:rFonts w:ascii="Times New Roman" w:hAnsi="Times New Roman" w:eastAsia="宋体"/>
                <w:sz w:val="18"/>
              </w:rPr>
              <w:t>Gapfill与范围</w:t>
            </w:r>
          </w:p>
        </w:tc>
        <w:tc>
          <w:tcPr>
            <w:tcW w:type="dxa" w:w="3060"/>
          </w:tcPr>
          <w:p>
            <w:r>
              <w:rPr>
                <w:sz w:val="18"/>
              </w:rPr>
            </w:r>
            <w:r>
              <w:rPr>
                <w:rFonts w:ascii="Times New Roman" w:hAnsi="Times New Roman" w:eastAsia="宋体"/>
                <w:sz w:val="18"/>
              </w:rPr>
              <w:t>有效范围、填充值和Gapfill策略由YAML显式声明</w:t>
            </w:r>
          </w:p>
        </w:tc>
        <w:tc>
          <w:tcPr>
            <w:tcW w:type="dxa" w:w="3060"/>
          </w:tcPr>
          <w:p>
            <w:r>
              <w:rPr>
                <w:sz w:val="18"/>
              </w:rPr>
            </w:r>
            <w:r>
              <w:rPr>
                <w:rFonts w:ascii="Times New Roman" w:hAnsi="Times New Roman" w:eastAsia="宋体"/>
                <w:sz w:val="18"/>
              </w:rPr>
              <w:t>支持数值常数、</w:t>
            </w:r>
            <w:r>
              <w:rPr>
                <w:rFonts w:ascii="Consolas" w:hAnsi="Consolas" w:eastAsia="等线"/>
                <w:sz w:val="18"/>
              </w:rPr>
              <w:t>MEAN</w:t>
            </w:r>
            <w:r>
              <w:rPr>
                <w:rFonts w:ascii="Times New Roman" w:hAnsi="Times New Roman" w:eastAsia="宋体"/>
                <w:sz w:val="18"/>
              </w:rPr>
              <w:t>、</w:t>
            </w:r>
            <w:r>
              <w:rPr>
                <w:rFonts w:ascii="Consolas" w:hAnsi="Consolas" w:eastAsia="等线"/>
                <w:sz w:val="18"/>
              </w:rPr>
              <w:t>KEEP_AS_IS</w:t>
            </w:r>
            <w:r>
              <w:rPr>
                <w:rFonts w:ascii="Times New Roman" w:hAnsi="Times New Roman" w:eastAsia="宋体"/>
                <w:sz w:val="18"/>
              </w:rPr>
              <w:t>、</w:t>
            </w:r>
            <w:r>
              <w:rPr>
                <w:rFonts w:ascii="Consolas" w:hAnsi="Consolas" w:eastAsia="等线"/>
                <w:sz w:val="18"/>
              </w:rPr>
              <w:t>INT_NAN_TO_1</w:t>
            </w:r>
            <w:r>
              <w:rPr>
                <w:rFonts w:ascii="Times New Roman" w:hAnsi="Times New Roman" w:eastAsia="宋体"/>
                <w:sz w:val="18"/>
              </w:rPr>
              <w:t>、</w:t>
            </w:r>
            <w:r>
              <w:rPr>
                <w:rFonts w:ascii="Consolas" w:hAnsi="Consolas" w:eastAsia="等线"/>
                <w:sz w:val="18"/>
              </w:rPr>
              <w:t>NO_LAND_NAN</w:t>
            </w:r>
            <w:r>
              <w:rPr>
                <w:rFonts w:ascii="Times New Roman" w:hAnsi="Times New Roman" w:eastAsia="宋体"/>
                <w:sz w:val="18"/>
              </w:rPr>
              <w:t>和</w:t>
            </w:r>
            <w:r>
              <w:rPr>
                <w:rFonts w:ascii="Consolas" w:hAnsi="Consolas" w:eastAsia="等线"/>
                <w:sz w:val="18"/>
              </w:rPr>
              <w:t>NO_NAN</w:t>
            </w:r>
          </w:p>
        </w:tc>
      </w:tr>
      <w:tr>
        <w:tc>
          <w:tcPr>
            <w:tcW w:type="dxa" w:w="3060"/>
          </w:tcPr>
          <w:p>
            <w:r>
              <w:rPr>
                <w:sz w:val="18"/>
              </w:rPr>
            </w:r>
            <w:r>
              <w:rPr>
                <w:rFonts w:ascii="Times New Roman" w:hAnsi="Times New Roman" w:eastAsia="宋体"/>
                <w:sz w:val="18"/>
              </w:rPr>
              <w:t>变量元数据</w:t>
            </w:r>
          </w:p>
        </w:tc>
        <w:tc>
          <w:tcPr>
            <w:tcW w:type="dxa" w:w="3060"/>
          </w:tcPr>
          <w:p>
            <w:r>
              <w:rPr>
                <w:sz w:val="18"/>
              </w:rPr>
            </w:r>
            <w:r>
              <w:rPr>
                <w:rFonts w:ascii="Consolas" w:hAnsi="Consolas" w:eastAsia="等线"/>
                <w:sz w:val="18"/>
              </w:rPr>
              <w:t>data/std</w:t>
            </w:r>
            <w:r>
              <w:rPr>
                <w:rFonts w:ascii="Times New Roman" w:hAnsi="Times New Roman" w:eastAsia="宋体"/>
                <w:sz w:val="18"/>
              </w:rPr>
              <w:t>记录可读说明、单位及处理变更条目</w:t>
            </w:r>
          </w:p>
        </w:tc>
        <w:tc>
          <w:tcPr>
            <w:tcW w:type="dxa" w:w="3060"/>
          </w:tcPr>
          <w:p>
            <w:r>
              <w:rPr>
                <w:sz w:val="18"/>
              </w:rPr>
            </w:r>
            <w:r>
              <w:rPr>
                <w:rFonts w:ascii="Times New Roman" w:hAnsi="Times New Roman" w:eastAsia="宋体"/>
                <w:sz w:val="18"/>
              </w:rPr>
              <w:t>输出文件保留变量语义与主要转换过程</w:t>
            </w:r>
          </w:p>
        </w:tc>
      </w:tr>
      <w:tr>
        <w:tc>
          <w:tcPr>
            <w:tcW w:type="dxa" w:w="3060"/>
          </w:tcPr>
          <w:p>
            <w:r>
              <w:rPr>
                <w:sz w:val="18"/>
              </w:rPr>
            </w:r>
            <w:r>
              <w:rPr>
                <w:rFonts w:ascii="Times New Roman" w:hAnsi="Times New Roman" w:eastAsia="宋体"/>
                <w:sz w:val="18"/>
              </w:rPr>
              <w:t>处理记录</w:t>
            </w:r>
          </w:p>
        </w:tc>
        <w:tc>
          <w:tcPr>
            <w:tcW w:type="dxa" w:w="3060"/>
          </w:tcPr>
          <w:p>
            <w:r>
              <w:rPr>
                <w:sz w:val="18"/>
              </w:rPr>
            </w:r>
            <w:r>
              <w:rPr>
                <w:rFonts w:ascii="Times New Roman" w:hAnsi="Times New Roman" w:eastAsia="宋体"/>
                <w:sz w:val="18"/>
              </w:rPr>
              <w:t>YAML声明维度、坐标、数值与Gapfill规则；NetCDF属性写入逐项变更记录</w:t>
            </w:r>
          </w:p>
        </w:tc>
        <w:tc>
          <w:tcPr>
            <w:tcW w:type="dxa" w:w="3060"/>
          </w:tcPr>
          <w:p>
            <w:r>
              <w:rPr>
                <w:sz w:val="18"/>
              </w:rPr>
            </w:r>
            <w:r>
              <w:rPr>
                <w:rFonts w:ascii="Times New Roman" w:hAnsi="Times New Roman" w:eastAsia="宋体"/>
                <w:sz w:val="18"/>
              </w:rPr>
              <w:t>配置意图与产品处理历史相互对应</w:t>
            </w:r>
          </w:p>
        </w:tc>
      </w:tr>
      <w:tr>
        <w:tc>
          <w:tcPr>
            <w:tcW w:type="dxa" w:w="3060"/>
          </w:tcPr>
          <w:p>
            <w:r>
              <w:rPr>
                <w:sz w:val="18"/>
              </w:rPr>
            </w:r>
            <w:r>
              <w:rPr>
                <w:rFonts w:ascii="Times New Roman" w:hAnsi="Times New Roman" w:eastAsia="宋体"/>
                <w:sz w:val="18"/>
              </w:rPr>
              <w:t>处理复现</w:t>
            </w:r>
          </w:p>
        </w:tc>
        <w:tc>
          <w:tcPr>
            <w:tcW w:type="dxa" w:w="3060"/>
          </w:tcPr>
          <w:p>
            <w:r>
              <w:rPr>
                <w:sz w:val="18"/>
              </w:rPr>
            </w:r>
            <w:r>
              <w:rPr>
                <w:rFonts w:ascii="Consolas" w:hAnsi="Consolas" w:eastAsia="等线"/>
                <w:sz w:val="18"/>
              </w:rPr>
              <w:t>SCHEMA_VERSION</w:t>
            </w:r>
            <w:r>
              <w:rPr>
                <w:rFonts w:ascii="Times New Roman" w:hAnsi="Times New Roman" w:eastAsia="宋体"/>
                <w:sz w:val="18"/>
              </w:rPr>
              <w:t>、完整YAML、固定输入和版本化项目环境共同归档</w:t>
            </w:r>
          </w:p>
        </w:tc>
        <w:tc>
          <w:tcPr>
            <w:tcW w:type="dxa" w:w="3060"/>
          </w:tcPr>
          <w:p>
            <w:r>
              <w:rPr>
                <w:sz w:val="18"/>
              </w:rPr>
            </w:r>
            <w:r>
              <w:rPr>
                <w:rFonts w:ascii="Times New Roman" w:hAnsi="Times New Roman" w:eastAsia="宋体"/>
                <w:sz w:val="18"/>
              </w:rPr>
              <w:t>配置、输入与代码版本共同重建标准产品</w:t>
            </w:r>
          </w:p>
        </w:tc>
      </w:tr>
      <w:tr>
        <w:tc>
          <w:tcPr>
            <w:tcW w:type="dxa" w:w="3060"/>
          </w:tcPr>
          <w:p>
            <w:r>
              <w:rPr>
                <w:sz w:val="18"/>
              </w:rPr>
            </w:r>
            <w:r>
              <w:rPr>
                <w:rFonts w:ascii="Times New Roman" w:hAnsi="Times New Roman" w:eastAsia="宋体"/>
                <w:sz w:val="18"/>
              </w:rPr>
              <w:t>标签与版本</w:t>
            </w:r>
          </w:p>
        </w:tc>
        <w:tc>
          <w:tcPr>
            <w:tcW w:type="dxa" w:w="3060"/>
          </w:tcPr>
          <w:p>
            <w:r>
              <w:rPr>
                <w:sz w:val="18"/>
              </w:rPr>
            </w:r>
            <w:r>
              <w:rPr>
                <w:rFonts w:ascii="Times New Roman" w:hAnsi="Times New Roman" w:eastAsia="宋体"/>
                <w:sz w:val="18"/>
              </w:rPr>
              <w:t>标签表达类别、空间/时间分辨率、年份、版本和可选修订号</w:t>
            </w:r>
          </w:p>
        </w:tc>
        <w:tc>
          <w:tcPr>
            <w:tcW w:type="dxa" w:w="3060"/>
          </w:tcPr>
          <w:p>
            <w:r>
              <w:rPr>
                <w:sz w:val="18"/>
              </w:rPr>
            </w:r>
            <w:r>
              <w:rPr>
                <w:rFonts w:ascii="Times New Roman" w:hAnsi="Times New Roman" w:eastAsia="宋体"/>
                <w:sz w:val="18"/>
              </w:rPr>
              <w:t>标签与文件名共同形成稳定产品标识</w:t>
            </w:r>
          </w:p>
        </w:tc>
      </w:tr>
      <w:tr>
        <w:tc>
          <w:tcPr>
            <w:tcW w:type="dxa" w:w="3060"/>
          </w:tcPr>
          <w:p>
            <w:r>
              <w:rPr>
                <w:sz w:val="18"/>
              </w:rPr>
            </w:r>
            <w:r>
              <w:rPr>
                <w:rFonts w:ascii="Times New Roman" w:hAnsi="Times New Roman" w:eastAsia="宋体"/>
                <w:sz w:val="18"/>
              </w:rPr>
              <w:t>分发完整性</w:t>
            </w:r>
          </w:p>
        </w:tc>
        <w:tc>
          <w:tcPr>
            <w:tcW w:type="dxa" w:w="3060"/>
          </w:tcPr>
          <w:p>
            <w:r>
              <w:rPr>
                <w:sz w:val="18"/>
              </w:rPr>
            </w:r>
            <w:r>
              <w:rPr>
                <w:rFonts w:ascii="Times New Roman" w:hAnsi="Times New Roman" w:eastAsia="宋体"/>
                <w:sz w:val="18"/>
              </w:rPr>
              <w:t>正式发布条目记录文件字节数和SHA-256；同一标签各镜像内容相同</w:t>
            </w:r>
          </w:p>
        </w:tc>
        <w:tc>
          <w:tcPr>
            <w:tcW w:type="dxa" w:w="3060"/>
          </w:tcPr>
          <w:p>
            <w:r>
              <w:rPr>
                <w:sz w:val="18"/>
              </w:rPr>
            </w:r>
            <w:r>
              <w:rPr>
                <w:rFonts w:ascii="Times New Roman" w:hAnsi="Times New Roman" w:eastAsia="宋体"/>
                <w:sz w:val="18"/>
              </w:rPr>
              <w:t>下载后核验并以事务方式进入正式目录</w:t>
            </w:r>
          </w:p>
        </w:tc>
      </w:tr>
    </w:tbl>
    <w:p>
      <w:pPr>
        <w:ind w:firstLine="0"/>
      </w:pPr>
      <w:r>
        <w:rPr>
          <w:rFonts w:ascii="Times New Roman" w:hAnsi="Times New Roman" w:eastAsia="宋体"/>
          <w:b/>
        </w:rPr>
        <w:t>Table 2 Standardized NetCDF data and metadata requirements of GriddingMachine.</w:t>
      </w:r>
      <w:r>
        <w:rPr>
          <w:rFonts w:ascii="Times New Roman" w:hAnsi="Times New Roman" w:eastAsia="宋体"/>
        </w:rPr>
        <w:t xml:space="preserve"> The specification connects grid structure, gap filling, metadata, provenance, versioning, and distribution integrity within a unified production contract.</w:t>
      </w:r>
    </w:p>
    <w:p>
      <w:r>
        <w:rPr>
          <w:rFonts w:ascii="Times New Roman" w:hAnsi="Times New Roman" w:eastAsia="宋体"/>
        </w:rPr>
        <w:t>缺失值处理由YAML中的</w:t>
      </w:r>
      <w:r>
        <w:rPr>
          <w:rFonts w:ascii="Consolas" w:hAnsi="Consolas" w:eastAsia="等线"/>
        </w:rPr>
        <w:t>GAPFILL</w:t>
      </w:r>
      <w:r>
        <w:rPr>
          <w:rFonts w:ascii="Times New Roman" w:hAnsi="Times New Roman" w:eastAsia="宋体"/>
        </w:rPr>
        <w:t>字段驱动，并依据产品物理含义选择相应策略。数值常数和</w:t>
      </w:r>
      <w:r>
        <w:rPr>
          <w:rFonts w:ascii="Consolas" w:hAnsi="Consolas" w:eastAsia="等线"/>
        </w:rPr>
        <w:t>MEAN</w:t>
      </w:r>
      <w:r>
        <w:rPr>
          <w:rFonts w:ascii="Times New Roman" w:hAnsi="Times New Roman" w:eastAsia="宋体"/>
        </w:rPr>
        <w:t>分别以给定值或分层</w:t>
      </w:r>
      <w:r>
        <w:rPr>
          <w:rFonts w:ascii="Consolas" w:hAnsi="Consolas" w:eastAsia="等线"/>
        </w:rPr>
        <w:t>nanmean</w:t>
      </w:r>
      <w:r>
        <w:rPr>
          <w:rFonts w:ascii="Times New Roman" w:hAnsi="Times New Roman" w:eastAsia="宋体"/>
        </w:rPr>
        <w:t>填补陆地区域缺失值；</w:t>
      </w:r>
      <w:r>
        <w:rPr>
          <w:rFonts w:ascii="Consolas" w:hAnsi="Consolas" w:eastAsia="等线"/>
        </w:rPr>
        <w:t>KEEP_AS_IS</w:t>
      </w:r>
      <w:r>
        <w:rPr>
          <w:rFonts w:ascii="Times New Roman" w:hAnsi="Times New Roman" w:eastAsia="宋体"/>
        </w:rPr>
        <w:t>保持原始数组；</w:t>
      </w:r>
      <w:r>
        <w:rPr>
          <w:rFonts w:ascii="Consolas" w:hAnsi="Consolas" w:eastAsia="等线"/>
        </w:rPr>
        <w:t>INT_NAN_TO_1</w:t>
      </w:r>
      <w:r>
        <w:rPr>
          <w:rFonts w:ascii="Times New Roman" w:hAnsi="Times New Roman" w:eastAsia="宋体"/>
        </w:rPr>
        <w:t>将缺失值补为1并对数组整数化；</w:t>
      </w:r>
      <w:r>
        <w:rPr>
          <w:rFonts w:ascii="Consolas" w:hAnsi="Consolas" w:eastAsia="等线"/>
        </w:rPr>
        <w:t>NO_LAND_NAN</w:t>
      </w:r>
      <w:r>
        <w:rPr>
          <w:rFonts w:ascii="Times New Roman" w:hAnsi="Times New Roman" w:eastAsia="宋体"/>
        </w:rPr>
        <w:t>和</w:t>
      </w:r>
      <w:r>
        <w:rPr>
          <w:rFonts w:ascii="Consolas" w:hAnsi="Consolas" w:eastAsia="等线"/>
        </w:rPr>
        <w:t>NO_NAN</w:t>
      </w:r>
      <w:r>
        <w:rPr>
          <w:rFonts w:ascii="Times New Roman" w:hAnsi="Times New Roman" w:eastAsia="宋体"/>
        </w:rPr>
        <w:t>分别检查陆地区域与全域的数据完整性。Gapfill由此统一连接有效范围过滤、陆海掩膜、缺失值处置和输出精度，为不同地球系统数据产品提供可配置的数据完善方法。ELEV采用常数0填补策略，为统一读取和模型调用提供连续地形场。</w:t>
      </w:r>
    </w:p>
    <w:p>
      <w:r>
        <w:rPr>
          <w:rFonts w:ascii="Times New Roman" w:hAnsi="Times New Roman" w:eastAsia="宋体"/>
        </w:rPr>
        <w:t>CF约定利用坐标变量和属性表达维度语义[2]。GriddingMachine进一步固定输出维度顺序，以降低下游接口复杂度。新版通过YAML的</w:t>
      </w:r>
      <w:r>
        <w:rPr>
          <w:rFonts w:ascii="Consolas" w:hAnsi="Consolas" w:eastAsia="等线"/>
        </w:rPr>
        <w:t>DIMENSIONS</w:t>
      </w:r>
      <w:r>
        <w:rPr>
          <w:rFonts w:ascii="Times New Roman" w:hAnsi="Times New Roman" w:eastAsia="宋体"/>
        </w:rPr>
        <w:t>显式记录源变量各维度语义，并由</w:t>
      </w:r>
      <w:r>
        <w:rPr>
          <w:rFonts w:ascii="Consolas" w:hAnsi="Consolas" w:eastAsia="等线"/>
        </w:rPr>
        <w:t>standardize_dimension_order</w:t>
      </w:r>
      <w:r>
        <w:rPr>
          <w:rFonts w:ascii="Times New Roman" w:hAnsi="Times New Roman" w:eastAsia="宋体"/>
        </w:rPr>
        <w:t>将</w:t>
      </w:r>
      <w:r>
        <w:rPr>
          <w:rFonts w:ascii="Consolas" w:hAnsi="Consolas" w:eastAsia="等线"/>
        </w:rPr>
        <w:t>(lat, lon)</w:t>
      </w:r>
      <w:r>
        <w:rPr>
          <w:rFonts w:ascii="Times New Roman" w:hAnsi="Times New Roman" w:eastAsia="宋体"/>
        </w:rPr>
        <w:t>、</w:t>
      </w:r>
      <w:r>
        <w:rPr>
          <w:rFonts w:ascii="Consolas" w:hAnsi="Consolas" w:eastAsia="等线"/>
        </w:rPr>
        <w:t>(ind, lat, lon)</w:t>
      </w:r>
      <w:r>
        <w:rPr>
          <w:rFonts w:ascii="Times New Roman" w:hAnsi="Times New Roman" w:eastAsia="宋体"/>
        </w:rPr>
        <w:t>等排列重排为统一输出；经纬度翻转与循环平移同步作用于坐标和数据值。规则经纬网数据进入通用标准化流程，非规则网格、区域投影和复杂坐标数据由数据源专用预处理模块完成适配。</w:t>
      </w:r>
    </w:p>
    <w:p>
      <w:pPr>
        <w:pStyle w:val="Heading3"/>
      </w:pPr>
      <w:r>
        <w:rPr>
          <w:rFonts w:ascii="Times New Roman" w:hAnsi="Times New Roman" w:eastAsia="宋体"/>
        </w:rPr>
        <w:t>2.2.2 YAML配置与转换示例</w:t>
      </w:r>
    </w:p>
    <w:p>
      <w:r>
        <w:rPr>
          <w:rFonts w:ascii="Times New Roman" w:hAnsi="Times New Roman" w:eastAsia="宋体"/>
        </w:rPr>
        <w:t>YAML 将数据源差异与通用处理代码分离。当前配置由四类顶层字段组成：</w:t>
      </w:r>
      <w:r>
        <w:rPr>
          <w:rFonts w:ascii="Consolas" w:hAnsi="Consolas" w:eastAsia="等线"/>
        </w:rPr>
        <w:t>FILE</w:t>
      </w:r>
      <w:r>
        <w:rPr>
          <w:rFonts w:ascii="Times New Roman" w:hAnsi="Times New Roman" w:eastAsia="宋体"/>
        </w:rPr>
        <w:t xml:space="preserve"> 描述文件命名模式及 </w:t>
      </w:r>
      <w:r>
        <w:rPr>
          <w:rFonts w:ascii="Consolas" w:hAnsi="Consolas" w:eastAsia="等线"/>
        </w:rPr>
        <w:t>PREFIX</w:t>
      </w:r>
      <w:r>
        <w:rPr>
          <w:rFonts w:ascii="Times New Roman" w:hAnsi="Times New Roman" w:eastAsia="宋体"/>
        </w:rPr>
        <w:t xml:space="preserve">、空间分辨率 </w:t>
      </w:r>
      <w:r>
        <w:rPr>
          <w:rFonts w:ascii="Consolas" w:hAnsi="Consolas" w:eastAsia="等线"/>
        </w:rPr>
        <w:t>NX</w:t>
      </w:r>
      <w:r>
        <w:rPr>
          <w:rFonts w:ascii="Times New Roman" w:hAnsi="Times New Roman" w:eastAsia="宋体"/>
        </w:rPr>
        <w:t xml:space="preserve">、时间分辨率 </w:t>
      </w:r>
      <w:r>
        <w:rPr>
          <w:rFonts w:ascii="Consolas" w:hAnsi="Consolas" w:eastAsia="等线"/>
        </w:rPr>
        <w:t>MT</w:t>
      </w:r>
      <w:r>
        <w:rPr>
          <w:rFonts w:ascii="Times New Roman" w:hAnsi="Times New Roman" w:eastAsia="宋体"/>
        </w:rPr>
        <w:t xml:space="preserve">、可选年份 </w:t>
      </w:r>
      <w:r>
        <w:rPr>
          <w:rFonts w:ascii="Consolas" w:hAnsi="Consolas" w:eastAsia="等线"/>
        </w:rPr>
        <w:t>YYYY</w:t>
      </w:r>
      <w:r>
        <w:rPr>
          <w:rFonts w:ascii="Times New Roman" w:hAnsi="Times New Roman" w:eastAsia="宋体"/>
        </w:rPr>
        <w:t xml:space="preserve"> 和数据版本 </w:t>
      </w:r>
      <w:r>
        <w:rPr>
          <w:rFonts w:ascii="Consolas" w:hAnsi="Consolas" w:eastAsia="等线"/>
        </w:rPr>
        <w:t>VV</w:t>
      </w:r>
      <w:r>
        <w:rPr>
          <w:rFonts w:ascii="Times New Roman" w:hAnsi="Times New Roman" w:eastAsia="宋体"/>
        </w:rPr>
        <w:t>；</w:t>
      </w:r>
      <w:r>
        <w:rPr>
          <w:rFonts w:ascii="Consolas" w:hAnsi="Consolas" w:eastAsia="等线"/>
        </w:rPr>
        <w:t>FOLDER</w:t>
      </w:r>
      <w:r>
        <w:rPr>
          <w:rFonts w:ascii="Times New Roman" w:hAnsi="Times New Roman" w:eastAsia="宋体"/>
        </w:rPr>
        <w:t xml:space="preserve"> 指定原始数据与标准化数据目录；</w:t>
      </w:r>
      <w:r>
        <w:rPr>
          <w:rFonts w:ascii="Consolas" w:hAnsi="Consolas" w:eastAsia="等线"/>
        </w:rPr>
        <w:t>DATA</w:t>
      </w:r>
      <w:r>
        <w:rPr>
          <w:rFonts w:ascii="Times New Roman" w:hAnsi="Times New Roman" w:eastAsia="宋体"/>
        </w:rPr>
        <w:t xml:space="preserve"> 及可选的 </w:t>
      </w:r>
      <w:r>
        <w:rPr>
          <w:rFonts w:ascii="Consolas" w:hAnsi="Consolas" w:eastAsia="等线"/>
        </w:rPr>
        <w:t>STD</w:t>
      </w:r>
      <w:r>
        <w:rPr>
          <w:rFonts w:ascii="Times New Roman" w:hAnsi="Times New Roman" w:eastAsia="宋体"/>
        </w:rPr>
        <w:t xml:space="preserve"> 描述源变量名称、单位、缩放、有效范围、经纬度变换、缺失值策略和处理日志；</w:t>
      </w:r>
      <w:r>
        <w:rPr>
          <w:rFonts w:ascii="Consolas" w:hAnsi="Consolas" w:eastAsia="等线"/>
        </w:rPr>
        <w:t>GRIDDINGMACHINE</w:t>
      </w:r>
      <w:r>
        <w:rPr>
          <w:rFonts w:ascii="Times New Roman" w:hAnsi="Times New Roman" w:eastAsia="宋体"/>
        </w:rPr>
        <w:t xml:space="preserve"> 定义标签及可选修订号。一个配置可以包含多组前缀、分辨率、时间尺度、年份和版本，流水线对其笛卡尔组合逐项生成目标文件。</w:t>
      </w:r>
    </w:p>
    <w:p>
      <w:r>
        <w:rPr>
          <w:rFonts w:ascii="Times New Roman" w:hAnsi="Times New Roman" w:eastAsia="宋体"/>
        </w:rPr>
        <w:t>新版加入</w:t>
      </w:r>
      <w:r>
        <w:rPr>
          <w:rFonts w:ascii="Consolas" w:hAnsi="Consolas" w:eastAsia="等线"/>
        </w:rPr>
        <w:t>SCHEMA_VERSION</w:t>
      </w:r>
      <w:r>
        <w:rPr>
          <w:rFonts w:ascii="Times New Roman" w:hAnsi="Times New Roman" w:eastAsia="宋体"/>
        </w:rPr>
        <w:t>并在数据读取前解析配置结构。字段分为必需项、具有明确默认值的可选项和互斥项，数组长度与变量前缀一一对应；</w:t>
      </w:r>
      <w:r>
        <w:rPr>
          <w:rFonts w:ascii="Consolas" w:hAnsi="Consolas" w:eastAsia="等线"/>
        </w:rPr>
        <w:t>DIMENSIONS</w:t>
      </w:r>
      <w:r>
        <w:rPr>
          <w:rFonts w:ascii="Times New Roman" w:hAnsi="Times New Roman" w:eastAsia="宋体"/>
        </w:rPr>
        <w:t>、坐标变换、Gapfill和输出属性由共享schema统一约束。生产配置及配置构建器采用直接NetCDF方案，缺省</w:t>
      </w:r>
      <w:r>
        <w:rPr>
          <w:rFonts w:ascii="Consolas" w:hAnsi="Consolas" w:eastAsia="等线"/>
        </w:rPr>
        <w:t>GAPFILL</w:t>
      </w:r>
      <w:r>
        <w:rPr>
          <w:rFonts w:ascii="Times New Roman" w:hAnsi="Times New Roman" w:eastAsia="宋体"/>
        </w:rPr>
        <w:t>规范化为</w:t>
      </w:r>
      <w:r>
        <w:rPr>
          <w:rFonts w:ascii="Consolas" w:hAnsi="Consolas" w:eastAsia="等线"/>
        </w:rPr>
        <w:t>KEEP_AS_IS</w:t>
      </w:r>
      <w:r>
        <w:rPr>
          <w:rFonts w:ascii="Times New Roman" w:hAnsi="Times New Roman" w:eastAsia="宋体"/>
        </w:rPr>
        <w:t>。显式schema版本既承接既有配置，也为配置契约的持续演化建立清晰边界。</w:t>
      </w:r>
    </w:p>
    <w:p>
      <w:r>
        <w:rPr>
          <w:rFonts w:ascii="Times New Roman" w:hAnsi="Times New Roman" w:eastAsia="宋体"/>
        </w:rPr>
        <w:t>数据贡献示例使用二维非对称参考数据呈现配置与处理操作的对应关系。源变量采用</w:t>
      </w:r>
      <w:r>
        <w:rPr>
          <w:rFonts w:ascii="Consolas" w:hAnsi="Consolas" w:eastAsia="等线"/>
        </w:rPr>
        <w:t>(lat,lon)</w:t>
      </w:r>
      <w:r>
        <w:rPr>
          <w:rFonts w:ascii="Times New Roman" w:hAnsi="Times New Roman" w:eastAsia="宋体"/>
        </w:rPr>
        <w:t>顺序，纬度由北向南、经度范围为</w:t>
      </w:r>
      <w:r>
        <w:rPr>
          <w:rFonts w:ascii="Consolas" w:hAnsi="Consolas" w:eastAsia="等线"/>
        </w:rPr>
        <w:t>0～360°</w:t>
      </w:r>
      <w:r>
        <w:rPr>
          <w:rFonts w:ascii="Times New Roman" w:hAnsi="Times New Roman" w:eastAsia="宋体"/>
        </w:rPr>
        <w:t>；配置中的关键映射为</w:t>
      </w:r>
      <w:r>
        <w:rPr>
          <w:rFonts w:ascii="Consolas" w:hAnsi="Consolas" w:eastAsia="等线"/>
        </w:rPr>
        <w:t>DIMENSIONS: source: [lat, lon]</w:t>
      </w:r>
      <w:r>
        <w:rPr>
          <w:rFonts w:ascii="Times New Roman" w:hAnsi="Times New Roman" w:eastAsia="宋体"/>
        </w:rPr>
        <w:t>，并声明纬度翻转、经度半球转换和线性变换</w:t>
      </w:r>
      <w:r>
        <w:rPr>
          <w:rFonts w:ascii="Consolas" w:hAnsi="Consolas" w:eastAsia="等线"/>
        </w:rPr>
        <w:t>2x+1</w:t>
      </w:r>
      <w:r>
        <w:rPr>
          <w:rFonts w:ascii="Times New Roman" w:hAnsi="Times New Roman" w:eastAsia="宋体"/>
        </w:rPr>
        <w:t>。处理后得到标准</w:t>
      </w:r>
      <w:r>
        <w:rPr>
          <w:rFonts w:ascii="Consolas" w:hAnsi="Consolas" w:eastAsia="等线"/>
        </w:rPr>
        <w:t>(lon,lat)</w:t>
      </w:r>
      <w:r>
        <w:rPr>
          <w:rFonts w:ascii="Times New Roman" w:hAnsi="Times New Roman" w:eastAsia="宋体"/>
        </w:rPr>
        <w:t>顺序的</w:t>
      </w:r>
      <w:r>
        <w:rPr>
          <w:rFonts w:ascii="Consolas" w:hAnsi="Consolas" w:eastAsia="等线"/>
        </w:rPr>
        <w:t>CONTRIB_SRC_2X_1Y_V1.nc</w:t>
      </w:r>
      <w:r>
        <w:rPr>
          <w:rFonts w:ascii="Times New Roman" w:hAnsi="Times New Roman" w:eastAsia="宋体"/>
        </w:rPr>
        <w:t>，逐点结果与独立参考数组一致。框1保留维度、坐标、数值和Gapfill等核心字段，完整字段字典、命令及目录组织由版本化数据贡献指南提供。</w:t>
      </w:r>
    </w:p>
    <w:p>
      <w:r>
        <w:rPr>
          <w:rFonts w:ascii="Times New Roman" w:hAnsi="Times New Roman" w:eastAsia="宋体"/>
          <w:b/>
        </w:rPr>
        <w:t>框1 二维源数据标准化的YAML核心配置</w:t>
      </w:r>
    </w:p>
    <w:p>
      <w:pPr>
        <w:spacing w:before="80" w:after="120" w:line="240" w:lineRule="auto"/>
        <w:ind w:firstLine="0" w:left="312" w:right="312"/>
        <w:shd w:fill="F2F5F7"/>
      </w:pPr>
      <w:r>
        <w:rPr>
          <w:rFonts w:ascii="Consolas" w:hAnsi="Consolas" w:eastAsia="等线"/>
          <w:sz w:val="17"/>
        </w:rPr>
        <w:t>SCHEMA_VERSION: 1</w:t>
        <w:br/>
        <w:t>FILE:</w:t>
        <w:br/>
        <w:t xml:space="preserve">  PATTERN: "PREFIX_NX_X_MT_VV.nc"</w:t>
        <w:br/>
        <w:t xml:space="preserve">  PREFIX: ["SRC"]</w:t>
        <w:br/>
        <w:t xml:space="preserve">  NX: [2]</w:t>
        <w:br/>
        <w:t xml:space="preserve">  MT: ["1Y"]</w:t>
        <w:br/>
        <w:t xml:space="preserve">  VV: ["V1"]</w:t>
        <w:br/>
        <w:t>FOLDER:</w:t>
        <w:br/>
        <w:t xml:space="preserve">  ORIGINAL: "case-input"</w:t>
        <w:br/>
        <w:t xml:space="preserve">  REPROCESSED: "case-output"</w:t>
        <w:br/>
        <w:t>DATA:</w:t>
        <w:br/>
        <w:t xml:space="preserve">  ABOUT: "Two-dimensional contributor example"</w:t>
        <w:br/>
        <w:t xml:space="preserve">  CHANGE_LOGS: []</w:t>
        <w:br/>
        <w:t xml:space="preserve">  LABEL: ["source"]</w:t>
        <w:br/>
        <w:t xml:space="preserve">  UNIT: "1"</w:t>
        <w:br/>
        <w:t xml:space="preserve">  DIMENSIONS:</w:t>
        <w:br/>
        <w:t xml:space="preserve">    source: ["lat", "lon"]</w:t>
        <w:br/>
        <w:t xml:space="preserve">  REV_LAT: true</w:t>
        <w:br/>
        <w:t xml:space="preserve">  FLIP_LON: true</w:t>
        <w:br/>
        <w:t xml:space="preserve">  SCALING: "linear"</w:t>
        <w:br/>
        <w:t xml:space="preserve">  SCALING_FACTOR: [2, 1]</w:t>
        <w:br/>
        <w:t xml:space="preserve">  LIMITS: [23, 49]</w:t>
        <w:br/>
        <w:t xml:space="preserve">  GAPFILL: "KEEP_AS_IS"</w:t>
        <w:br/>
        <w:t xml:space="preserve">  VERIFY_ONCE: false</w:t>
        <w:br/>
        <w:t>GRIDDINGMACHINE:</w:t>
        <w:br/>
        <w:t xml:space="preserve">  TAG: "CONTRIB"</w:t>
      </w:r>
    </w:p>
    <w:p>
      <w:r>
        <w:rPr>
          <w:rFonts w:ascii="Consolas" w:hAnsi="Consolas" w:eastAsia="等线"/>
        </w:rPr>
        <w:t>GriddingMachineDatasets</w:t>
      </w:r>
      <w:r>
        <w:rPr>
          <w:rFonts w:ascii="Times New Roman" w:hAnsi="Times New Roman" w:eastAsia="宋体"/>
        </w:rPr>
        <w:t>仓库中的</w:t>
      </w:r>
      <w:r>
        <w:rPr>
          <w:rFonts w:ascii="Consolas" w:hAnsi="Consolas" w:eastAsia="等线"/>
        </w:rPr>
        <w:t>YamlBuilder</w:t>
      </w:r>
      <w:r>
        <w:rPr>
          <w:rFonts w:ascii="Times New Roman" w:hAnsi="Times New Roman" w:eastAsia="宋体"/>
        </w:rPr>
        <w:t>接收文件命名、变量标签、分辨率、时间尺度、版本、输入输出目录、单位、数值范围、缩放、坐标方向和GriddingMachine标签等结构化输入，并生成YAML配置。结构化构建方式统一字段名称、缩进和默认值，使贡献者能够将数据源约定稳定转换为可执行配置。</w:t>
      </w:r>
    </w:p>
    <w:p>
      <w:r>
        <w:rPr>
          <w:rFonts w:ascii="Consolas" w:hAnsi="Consolas" w:eastAsia="等线"/>
        </w:rPr>
        <w:t>YamlBuilder</w:t>
      </w:r>
      <w:r>
        <w:rPr>
          <w:rFonts w:ascii="Times New Roman" w:hAnsi="Times New Roman" w:eastAsia="宋体"/>
        </w:rPr>
        <w:t>与处理流水线调用同一schema；其输出采用</w:t>
      </w:r>
      <w:r>
        <w:rPr>
          <w:rFonts w:ascii="Consolas" w:hAnsi="Consolas" w:eastAsia="等线"/>
        </w:rPr>
        <w:t>SCHEMA_VERSION</w:t>
      </w:r>
      <w:r>
        <w:rPr>
          <w:rFonts w:ascii="Times New Roman" w:hAnsi="Times New Roman" w:eastAsia="宋体"/>
        </w:rPr>
        <w:t>、</w:t>
      </w:r>
      <w:r>
        <w:rPr>
          <w:rFonts w:ascii="Consolas" w:hAnsi="Consolas" w:eastAsia="等线"/>
        </w:rPr>
        <w:t>GAPFILL</w:t>
      </w:r>
      <w:r>
        <w:rPr>
          <w:rFonts w:ascii="Times New Roman" w:hAnsi="Times New Roman" w:eastAsia="宋体"/>
        </w:rPr>
        <w:t>与</w:t>
      </w:r>
      <w:r>
        <w:rPr>
          <w:rFonts w:ascii="Consolas" w:hAnsi="Consolas" w:eastAsia="等线"/>
        </w:rPr>
        <w:t>DIMENSIONS</w:t>
      </w:r>
      <w:r>
        <w:rPr>
          <w:rFonts w:ascii="Times New Roman" w:hAnsi="Times New Roman" w:eastAsia="宋体"/>
        </w:rPr>
        <w:t>描述处理契约，输出位置由调用者配置。构建器生成的配置可直接交给</w:t>
      </w:r>
      <w:r>
        <w:rPr>
          <w:rFonts w:ascii="Consolas" w:hAnsi="Consolas" w:eastAsia="等线"/>
        </w:rPr>
        <w:t>process_dataset!</w:t>
      </w:r>
      <w:r>
        <w:rPr>
          <w:rFonts w:ascii="Times New Roman" w:hAnsi="Times New Roman" w:eastAsia="宋体"/>
        </w:rPr>
        <w:t>，字段信息在源数据读取前完成解析。框架同时提供本地交互式配置生成界面，表单输入由</w:t>
      </w:r>
      <w:r>
        <w:rPr>
          <w:rFonts w:ascii="Consolas" w:hAnsi="Consolas" w:eastAsia="等线"/>
        </w:rPr>
        <w:t>YamlBuilder</w:t>
      </w:r>
      <w:r>
        <w:rPr>
          <w:rFonts w:ascii="Times New Roman" w:hAnsi="Times New Roman" w:eastAsia="宋体"/>
        </w:rPr>
        <w:t>转换并交由共享schema解析，可直接预览和保存供生产流水线使用的YAML文件。框1、交互式生成器和版本化指南共同构成面向贡献者的配置范式。</w:t>
      </w:r>
    </w:p>
    <w:p>
      <w:pPr>
        <w:pStyle w:val="Heading3"/>
      </w:pPr>
      <w:r>
        <w:rPr>
          <w:rFonts w:ascii="Times New Roman" w:hAnsi="Times New Roman" w:eastAsia="宋体"/>
        </w:rPr>
        <w:t>2.2.3 生产流程与质量控制</w:t>
      </w:r>
    </w:p>
    <w:p>
      <w:r>
        <w:rPr>
          <w:rFonts w:ascii="Consolas" w:hAnsi="Consolas" w:eastAsia="等线"/>
        </w:rPr>
        <w:t>process_dataset!</w:t>
      </w:r>
      <w:r>
        <w:rPr>
          <w:rFonts w:ascii="Times New Roman" w:hAnsi="Times New Roman" w:eastAsia="宋体"/>
        </w:rPr>
        <w:t>首先根据</w:t>
      </w:r>
      <w:r>
        <w:rPr>
          <w:rFonts w:ascii="Consolas" w:hAnsi="Consolas" w:eastAsia="等线"/>
        </w:rPr>
        <w:t>FILE</w:t>
      </w:r>
      <w:r>
        <w:rPr>
          <w:rFonts w:ascii="Times New Roman" w:hAnsi="Times New Roman" w:eastAsia="宋体"/>
        </w:rPr>
        <w:t>和</w:t>
      </w:r>
      <w:r>
        <w:rPr>
          <w:rFonts w:ascii="Consolas" w:hAnsi="Consolas" w:eastAsia="等线"/>
        </w:rPr>
        <w:t>FOLDER</w:t>
      </w:r>
      <w:r>
        <w:rPr>
          <w:rFonts w:ascii="Times New Roman" w:hAnsi="Times New Roman" w:eastAsia="宋体"/>
        </w:rPr>
        <w:t>定位输入与输出文件，再读取</w:t>
      </w:r>
      <w:r>
        <w:rPr>
          <w:rFonts w:ascii="Consolas" w:hAnsi="Consolas" w:eastAsia="等线"/>
        </w:rPr>
        <w:t>DATA</w:t>
      </w:r>
      <w:r>
        <w:rPr>
          <w:rFonts w:ascii="Times New Roman" w:hAnsi="Times New Roman" w:eastAsia="宋体"/>
        </w:rPr>
        <w:t>和可选</w:t>
      </w:r>
      <w:r>
        <w:rPr>
          <w:rFonts w:ascii="Consolas" w:hAnsi="Consolas" w:eastAsia="等线"/>
        </w:rPr>
        <w:t>STD</w:t>
      </w:r>
      <w:r>
        <w:rPr>
          <w:rFonts w:ascii="Times New Roman" w:hAnsi="Times New Roman" w:eastAsia="宋体"/>
        </w:rPr>
        <w:t>指定的源变量。当前流水线将数据转换为</w:t>
      </w:r>
      <w:r>
        <w:rPr>
          <w:rFonts w:ascii="Consolas" w:hAnsi="Consolas" w:eastAsia="等线"/>
        </w:rPr>
        <w:t>Float32</w:t>
      </w:r>
      <w:r>
        <w:rPr>
          <w:rFonts w:ascii="Times New Roman" w:hAnsi="Times New Roman" w:eastAsia="宋体"/>
        </w:rPr>
        <w:t>，依次执行纬度翻转、经度翻转或从</w:t>
      </w:r>
      <w:r>
        <w:rPr>
          <w:rFonts w:ascii="Consolas" w:hAnsi="Consolas" w:eastAsia="等线"/>
        </w:rPr>
        <w:t>0°～360°</w:t>
      </w:r>
      <w:r>
        <w:rPr>
          <w:rFonts w:ascii="Times New Roman" w:hAnsi="Times New Roman" w:eastAsia="宋体"/>
        </w:rPr>
        <w:t>到</w:t>
      </w:r>
      <w:r>
        <w:rPr>
          <w:rFonts w:ascii="Consolas" w:hAnsi="Consolas" w:eastAsia="等线"/>
        </w:rPr>
        <w:t>−180°～180°</w:t>
      </w:r>
      <w:r>
        <w:rPr>
          <w:rFonts w:ascii="Times New Roman" w:hAnsi="Times New Roman" w:eastAsia="宋体"/>
        </w:rPr>
        <w:t>的循环平移、线性缩放、有效范围过滤和缺失值处理。各项转换追加为NetCDF变量属性中的变更记录；研究材料进一步将完整YAML、固定输入和版本化项目环境与输出产品共同归档。</w:t>
      </w:r>
    </w:p>
    <w:p>
      <w:r>
        <w:rPr>
          <w:rFonts w:ascii="Times New Roman" w:hAnsi="Times New Roman" w:eastAsia="宋体"/>
        </w:rPr>
        <w:t>生产流程在保存前检查维度、坐标、变量、数值范围和Gapfill结果，空间方向图进一步呈现坐标语义。质量控制完成后生成</w:t>
      </w:r>
      <w:r>
        <w:rPr>
          <w:rFonts w:ascii="Consolas" w:hAnsi="Consolas" w:eastAsia="等线"/>
        </w:rPr>
        <w:t>data</w:t>
      </w:r>
      <w:r>
        <w:rPr>
          <w:rFonts w:ascii="Times New Roman" w:hAnsi="Times New Roman" w:eastAsia="宋体"/>
        </w:rPr>
        <w:t>，存在不确定性时追加同形的</w:t>
      </w:r>
      <w:r>
        <w:rPr>
          <w:rFonts w:ascii="Consolas" w:hAnsi="Consolas" w:eastAsia="等线"/>
        </w:rPr>
        <w:t>std</w:t>
      </w:r>
      <w:r>
        <w:rPr>
          <w:rFonts w:ascii="Times New Roman" w:hAnsi="Times New Roman" w:eastAsia="宋体"/>
        </w:rPr>
        <w:t>，并按</w:t>
      </w:r>
      <w:r>
        <w:rPr>
          <w:rFonts w:ascii="Consolas" w:hAnsi="Consolas" w:eastAsia="等线"/>
        </w:rPr>
        <w:t>TAG_(PREFIX_)NX_MT_(YYYY_)VV(_REVISION)</w:t>
      </w:r>
      <w:r>
        <w:rPr>
          <w:rFonts w:ascii="Times New Roman" w:hAnsi="Times New Roman" w:eastAsia="宋体"/>
        </w:rPr>
        <w:t>生成唯一文件名。文件级变更记录与发布级配置、输入和软件环境共同构成双层复现链，连接产品内容与其生成上下文。</w:t>
      </w:r>
    </w:p>
    <w:p>
      <w:r>
        <w:rPr>
          <w:rFonts w:ascii="Times New Roman" w:hAnsi="Times New Roman" w:eastAsia="宋体"/>
        </w:rPr>
        <w:t xml:space="preserve">当前生产流水线在 </w:t>
      </w:r>
      <w:r>
        <w:rPr>
          <w:rFonts w:ascii="Consolas" w:hAnsi="Consolas" w:eastAsia="等线"/>
        </w:rPr>
        <w:t>read_input</w:t>
      </w:r>
      <w:r>
        <w:rPr>
          <w:rFonts w:ascii="Times New Roman" w:hAnsi="Times New Roman" w:eastAsia="宋体"/>
        </w:rPr>
        <w:t xml:space="preserve"> 完成经纬度翻转、经度范围调整、线性缩放、有效范围过滤和缺失值处理后，调用 </w:t>
      </w:r>
      <w:r>
        <w:rPr>
          <w:rFonts w:ascii="Consolas" w:hAnsi="Consolas" w:eastAsia="等线"/>
        </w:rPr>
        <w:t>verify_data!</w:t>
      </w:r>
      <w:r>
        <w:rPr>
          <w:rFonts w:ascii="Times New Roman" w:hAnsi="Times New Roman" w:eastAsia="宋体"/>
        </w:rPr>
        <w:t xml:space="preserve"> 对待保存数组进行方向检查。该函数把数组写入调用者指定或默认的NetCDF缓存文件，Python脚本依据变量维度名重排为</w:t>
      </w:r>
      <w:r>
        <w:rPr>
          <w:rFonts w:ascii="Consolas" w:hAnsi="Consolas" w:eastAsia="等线"/>
        </w:rPr>
        <w:t>(lat,lon)</w:t>
      </w:r>
      <w:r>
        <w:rPr>
          <w:rFonts w:ascii="Times New Roman" w:hAnsi="Times New Roman" w:eastAsia="宋体"/>
        </w:rPr>
        <w:t>后生成带经纬度坐标轴的图件；二维数据输出PNG，三维数据沿</w:t>
      </w:r>
      <w:r>
        <w:rPr>
          <w:rFonts w:ascii="Consolas" w:hAnsi="Consolas" w:eastAsia="等线"/>
        </w:rPr>
        <w:t>ind</w:t>
      </w:r>
      <w:r>
        <w:rPr>
          <w:rFonts w:ascii="Times New Roman" w:hAnsi="Times New Roman" w:eastAsia="宋体"/>
        </w:rPr>
        <w:t>维输出GIF。操作者查看图件并在终端记录接受或退回状态。YAML中的</w:t>
      </w:r>
      <w:r>
        <w:rPr>
          <w:rFonts w:ascii="Consolas" w:hAnsi="Consolas" w:eastAsia="等线"/>
        </w:rPr>
        <w:t>VERIFY_ONCE</w:t>
      </w:r>
      <w:r>
        <w:rPr>
          <w:rFonts w:ascii="Times New Roman" w:hAnsi="Times New Roman" w:eastAsia="宋体"/>
        </w:rPr>
        <w:t>控制同一配置组合的首次确认，通过状态保存在该次处理使用的配置副本中。</w:t>
      </w:r>
    </w:p>
    <w:p>
      <w:r>
        <w:rPr>
          <w:rFonts w:ascii="Times New Roman" w:hAnsi="Times New Roman" w:eastAsia="宋体"/>
        </w:rPr>
        <w:t>这一过程用于识别南北方向、东西方向和经度平移状态。方向正确与南北反转的非对称位置编码图得到准确区分。人工空间判断与自动坐标、结构和逐点数值检查共同组成直观的方向质量控制体系。</w:t>
      </w:r>
    </w:p>
    <w:p>
      <w:r>
        <w:rPr>
          <w:rFonts w:ascii="Times New Roman" w:hAnsi="Times New Roman" w:eastAsia="宋体"/>
        </w:rPr>
        <w:t>对于已经生成的NetCDF文件，</w:t>
      </w:r>
      <w:r>
        <w:rPr>
          <w:rFonts w:ascii="Consolas" w:hAnsi="Consolas" w:eastAsia="等线"/>
        </w:rPr>
        <w:t>verify_processed_data!</w:t>
      </w:r>
      <w:r>
        <w:rPr>
          <w:rFonts w:ascii="Times New Roman" w:hAnsi="Times New Roman" w:eastAsia="宋体"/>
        </w:rPr>
        <w:t>提供独立的结构和数值检查。该函数首先确认文件及覆盖类型，支持全球陆地和海洋（</w:t>
      </w:r>
      <w:r>
        <w:rPr>
          <w:rFonts w:ascii="Consolas" w:hAnsi="Consolas" w:eastAsia="等线"/>
        </w:rPr>
        <w:t>both</w:t>
      </w:r>
      <w:r>
        <w:rPr>
          <w:rFonts w:ascii="Times New Roman" w:hAnsi="Times New Roman" w:eastAsia="宋体"/>
        </w:rPr>
        <w:t>）与陆地（</w:t>
      </w:r>
      <w:r>
        <w:rPr>
          <w:rFonts w:ascii="Consolas" w:hAnsi="Consolas" w:eastAsia="等线"/>
        </w:rPr>
        <w:t>land</w:t>
      </w:r>
      <w:r>
        <w:rPr>
          <w:rFonts w:ascii="Times New Roman" w:hAnsi="Times New Roman" w:eastAsia="宋体"/>
        </w:rPr>
        <w:t>）两类产品。随后检查</w:t>
      </w:r>
      <w:r>
        <w:rPr>
          <w:rFonts w:ascii="Consolas" w:hAnsi="Consolas" w:eastAsia="等线"/>
        </w:rPr>
        <w:t>lon</w:t>
      </w:r>
      <w:r>
        <w:rPr>
          <w:rFonts w:ascii="Times New Roman" w:hAnsi="Times New Roman" w:eastAsia="宋体"/>
        </w:rPr>
        <w:t>、</w:t>
      </w:r>
      <w:r>
        <w:rPr>
          <w:rFonts w:ascii="Consolas" w:hAnsi="Consolas" w:eastAsia="等线"/>
        </w:rPr>
        <w:t>lat</w:t>
      </w:r>
      <w:r>
        <w:rPr>
          <w:rFonts w:ascii="Times New Roman" w:hAnsi="Times New Roman" w:eastAsia="宋体"/>
        </w:rPr>
        <w:t>维度、坐标变量和主变量</w:t>
      </w:r>
      <w:r>
        <w:rPr>
          <w:rFonts w:ascii="Consolas" w:hAnsi="Consolas" w:eastAsia="等线"/>
        </w:rPr>
        <w:t>data</w:t>
      </w:r>
      <w:r>
        <w:rPr>
          <w:rFonts w:ascii="Times New Roman" w:hAnsi="Times New Roman" w:eastAsia="宋体"/>
        </w:rPr>
        <w:t>，三维产品进一步检查</w:t>
      </w:r>
      <w:r>
        <w:rPr>
          <w:rFonts w:ascii="Consolas" w:hAnsi="Consolas" w:eastAsia="等线"/>
        </w:rPr>
        <w:t>ind</w:t>
      </w:r>
      <w:r>
        <w:rPr>
          <w:rFonts w:ascii="Times New Roman" w:hAnsi="Times New Roman" w:eastAsia="宋体"/>
        </w:rPr>
        <w:t>，并验证各维长度的一致性。数值检查读取完整</w:t>
      </w:r>
      <w:r>
        <w:rPr>
          <w:rFonts w:ascii="Consolas" w:hAnsi="Consolas" w:eastAsia="等线"/>
        </w:rPr>
        <w:t>data</w:t>
      </w:r>
      <w:r>
        <w:rPr>
          <w:rFonts w:ascii="Times New Roman" w:hAnsi="Times New Roman" w:eastAsia="宋体"/>
        </w:rPr>
        <w:t>数组，计算有效值的最小值和最大值，并评价其与给定范围的符合程度。</w:t>
      </w:r>
    </w:p>
    <w:p>
      <w:r>
        <w:rPr>
          <w:rFonts w:ascii="Times New Roman" w:hAnsi="Times New Roman" w:eastAsia="宋体"/>
        </w:rPr>
        <w:t>缺失值检查根据覆盖类型执行。</w:t>
      </w:r>
      <w:r>
        <w:rPr>
          <w:rFonts w:ascii="Consolas" w:hAnsi="Consolas" w:eastAsia="等线"/>
        </w:rPr>
        <w:t>both</w:t>
      </w:r>
      <w:r>
        <w:rPr>
          <w:rFonts w:ascii="Times New Roman" w:hAnsi="Times New Roman" w:eastAsia="宋体"/>
        </w:rPr>
        <w:t>要求整个数组具有完整有效值；</w:t>
      </w:r>
      <w:r>
        <w:rPr>
          <w:rFonts w:ascii="Consolas" w:hAnsi="Consolas" w:eastAsia="等线"/>
        </w:rPr>
        <w:t>land</w:t>
      </w:r>
      <w:r>
        <w:rPr>
          <w:rFonts w:ascii="Times New Roman" w:hAnsi="Times New Roman" w:eastAsia="宋体"/>
        </w:rPr>
        <w:t>在经度长度为360、720或1 440时读取并重采样</w:t>
      </w:r>
      <w:r>
        <w:rPr>
          <w:rFonts w:ascii="Consolas" w:hAnsi="Consolas" w:eastAsia="等线"/>
        </w:rPr>
        <w:t>LM_4X_1Y_V1</w:t>
      </w:r>
      <w:r>
        <w:rPr>
          <w:rFonts w:ascii="Times New Roman" w:hAnsi="Times New Roman" w:eastAsia="宋体"/>
        </w:rPr>
        <w:t>陆地掩膜，逐层检查陆地区域。其他空间分辨率由专用规则承接。结构、范围和陆地掩膜检查与生产阶段的坐标方向、变量属性和处理记录共同构成标准产品的质量信息。</w:t>
      </w:r>
    </w:p>
    <w:p>
      <w:pPr>
        <w:pStyle w:val="Heading2"/>
      </w:pPr>
      <w:r>
        <w:rPr>
          <w:rFonts w:ascii="Times New Roman" w:hAnsi="Times New Roman" w:eastAsia="宋体"/>
        </w:rPr>
        <w:t>2.3 产品发布与独立数据目录</w:t>
      </w:r>
    </w:p>
    <w:p>
      <w:pPr>
        <w:pStyle w:val="Heading3"/>
      </w:pPr>
      <w:r>
        <w:rPr>
          <w:rFonts w:ascii="Times New Roman" w:hAnsi="Times New Roman" w:eastAsia="宋体"/>
        </w:rPr>
        <w:t>2.3.1 标签生成与目录登记</w:t>
      </w:r>
    </w:p>
    <w:p>
      <w:r>
        <w:rPr>
          <w:rFonts w:ascii="Times New Roman" w:hAnsi="Times New Roman" w:eastAsia="宋体"/>
        </w:rPr>
        <w:t>数据文件名由</w:t>
      </w:r>
      <w:r>
        <w:rPr>
          <w:rFonts w:ascii="Consolas" w:hAnsi="Consolas" w:eastAsia="等线"/>
        </w:rPr>
        <w:t>griddingmachine_tag</w:t>
      </w:r>
      <w:r>
        <w:rPr>
          <w:rFonts w:ascii="Times New Roman" w:hAnsi="Times New Roman" w:eastAsia="宋体"/>
        </w:rPr>
        <w:t>生成，基本形式为</w:t>
      </w:r>
      <w:r>
        <w:rPr>
          <w:rFonts w:ascii="Consolas" w:hAnsi="Consolas" w:eastAsia="等线"/>
        </w:rPr>
        <w:t>TAG_(PREFIX_)NX_MT_(YYYY_)VV(_REVISION)</w:t>
      </w:r>
      <w:r>
        <w:rPr>
          <w:rFonts w:ascii="Times New Roman" w:hAnsi="Times New Roman" w:eastAsia="宋体"/>
        </w:rPr>
        <w:t>。其中</w:t>
      </w:r>
      <w:r>
        <w:rPr>
          <w:rFonts w:ascii="Consolas" w:hAnsi="Consolas" w:eastAsia="等线"/>
        </w:rPr>
        <w:t>NX</w:t>
      </w:r>
      <w:r>
        <w:rPr>
          <w:rFonts w:ascii="Times New Roman" w:hAnsi="Times New Roman" w:eastAsia="宋体"/>
        </w:rPr>
        <w:t>表示空间分辨率，</w:t>
      </w:r>
      <w:r>
        <w:rPr>
          <w:rFonts w:ascii="Consolas" w:hAnsi="Consolas" w:eastAsia="等线"/>
        </w:rPr>
        <w:t>MT</w:t>
      </w:r>
      <w:r>
        <w:rPr>
          <w:rFonts w:ascii="Times New Roman" w:hAnsi="Times New Roman" w:eastAsia="宋体"/>
        </w:rPr>
        <w:t>表示时间分辨率，</w:t>
      </w:r>
      <w:r>
        <w:rPr>
          <w:rFonts w:ascii="Consolas" w:hAnsi="Consolas" w:eastAsia="等线"/>
        </w:rPr>
        <w:t>YYYY</w:t>
      </w:r>
      <w:r>
        <w:rPr>
          <w:rFonts w:ascii="Times New Roman" w:hAnsi="Times New Roman" w:eastAsia="宋体"/>
        </w:rPr>
        <w:t>和</w:t>
      </w:r>
      <w:r>
        <w:rPr>
          <w:rFonts w:ascii="Consolas" w:hAnsi="Consolas" w:eastAsia="等线"/>
        </w:rPr>
        <w:t>REVISION</w:t>
      </w:r>
      <w:r>
        <w:rPr>
          <w:rFonts w:ascii="Times New Roman" w:hAnsi="Times New Roman" w:eastAsia="宋体"/>
        </w:rPr>
        <w:t>为可选部分。生成输出路径时，代码读取当前</w:t>
      </w:r>
      <w:r>
        <w:rPr>
          <w:rFonts w:ascii="Consolas" w:hAnsi="Consolas" w:eastAsia="等线"/>
        </w:rPr>
        <w:t>Artifacts.yaml</w:t>
      </w:r>
      <w:r>
        <w:rPr>
          <w:rFonts w:ascii="Times New Roman" w:hAnsi="Times New Roman" w:eastAsia="宋体"/>
        </w:rPr>
        <w:t>并识别标签状态，以保持数据产品标识的唯一性。</w:t>
      </w:r>
    </w:p>
    <w:p>
      <w:r>
        <w:rPr>
          <w:rFonts w:ascii="Times New Roman" w:hAnsi="Times New Roman" w:eastAsia="宋体"/>
        </w:rPr>
        <w:t>数据发布与目录登记采用解耦设计。维护者在Zenodo、机构FTP或其他存储中发布标准产品，再将本地NetCDF路径和公开URL交给</w:t>
      </w:r>
      <w:r>
        <w:rPr>
          <w:rFonts w:ascii="Consolas" w:hAnsi="Consolas" w:eastAsia="等线"/>
        </w:rPr>
        <w:t>update_yaml_library!</w:t>
      </w:r>
      <w:r>
        <w:rPr>
          <w:rFonts w:ascii="Times New Roman" w:hAnsi="Times New Roman" w:eastAsia="宋体"/>
        </w:rPr>
        <w:t>。该函数调用</w:t>
      </w:r>
      <w:r>
        <w:rPr>
          <w:rFonts w:ascii="Consolas" w:hAnsi="Consolas" w:eastAsia="等线"/>
        </w:rPr>
        <w:t>build_catalog_entry</w:t>
      </w:r>
      <w:r>
        <w:rPr>
          <w:rFonts w:ascii="Times New Roman" w:hAnsi="Times New Roman" w:eastAsia="宋体"/>
        </w:rPr>
        <w:t>生成</w:t>
      </w:r>
      <w:r>
        <w:rPr>
          <w:rFonts w:ascii="Consolas" w:hAnsi="Consolas" w:eastAsia="等线"/>
        </w:rPr>
        <w:t>PATH</w:t>
      </w:r>
      <w:r>
        <w:rPr>
          <w:rFonts w:ascii="Times New Roman" w:hAnsi="Times New Roman" w:eastAsia="宋体"/>
        </w:rPr>
        <w:t>、去重后的</w:t>
      </w:r>
      <w:r>
        <w:rPr>
          <w:rFonts w:ascii="Consolas" w:hAnsi="Consolas" w:eastAsia="等线"/>
        </w:rPr>
        <w:t>URL</w:t>
      </w:r>
      <w:r>
        <w:rPr>
          <w:rFonts w:ascii="Times New Roman" w:hAnsi="Times New Roman" w:eastAsia="宋体"/>
        </w:rPr>
        <w:t>、</w:t>
      </w:r>
      <w:r>
        <w:rPr>
          <w:rFonts w:ascii="Consolas" w:hAnsi="Consolas" w:eastAsia="等线"/>
        </w:rPr>
        <w:t>SIZE</w:t>
      </w:r>
      <w:r>
        <w:rPr>
          <w:rFonts w:ascii="Times New Roman" w:hAnsi="Times New Roman" w:eastAsia="宋体"/>
        </w:rPr>
        <w:t>和</w:t>
      </w:r>
      <w:r>
        <w:rPr>
          <w:rFonts w:ascii="Consolas" w:hAnsi="Consolas" w:eastAsia="等线"/>
        </w:rPr>
        <w:t>SHA256</w:t>
      </w:r>
      <w:r>
        <w:rPr>
          <w:rFonts w:ascii="Times New Roman" w:hAnsi="Times New Roman" w:eastAsia="宋体"/>
        </w:rPr>
        <w:t>，按标签排序后通过临时文件更新</w:t>
      </w:r>
      <w:r>
        <w:rPr>
          <w:rFonts w:ascii="Consolas" w:hAnsi="Consolas" w:eastAsia="等线"/>
        </w:rPr>
        <w:t>Artifacts.yaml</w:t>
      </w:r>
      <w:r>
        <w:rPr>
          <w:rFonts w:ascii="Times New Roman" w:hAnsi="Times New Roman" w:eastAsia="宋体"/>
        </w:rPr>
        <w:t>，从而形成职责清晰、内容可校验的目录生成流程。</w:t>
      </w:r>
    </w:p>
    <w:p>
      <w:r>
        <w:rPr>
          <w:rFonts w:ascii="Times New Roman" w:hAnsi="Times New Roman" w:eastAsia="宋体"/>
        </w:rPr>
        <w:t>目录生成器从本地标准文件计算字节数和SHA-256并写入YAML，下载端以相同字段确认实际内容，从而形成“本地标准文件—目录条目—下载文件”的完整性链。历史目录迁移以权威本地文件重新生成</w:t>
      </w:r>
      <w:r>
        <w:rPr>
          <w:rFonts w:ascii="Consolas" w:hAnsi="Consolas" w:eastAsia="等线"/>
        </w:rPr>
        <w:t>SIZE/SHA256</w:t>
      </w:r>
      <w:r>
        <w:rPr>
          <w:rFonts w:ascii="Times New Roman" w:hAnsi="Times New Roman" w:eastAsia="宋体"/>
        </w:rPr>
        <w:t>，</w:t>
      </w:r>
      <w:r>
        <w:rPr>
          <w:rFonts w:ascii="Consolas" w:hAnsi="Consolas" w:eastAsia="等线"/>
        </w:rPr>
        <w:t>verify_urls!</w:t>
      </w:r>
      <w:r>
        <w:rPr>
          <w:rFonts w:ascii="Times New Roman" w:hAnsi="Times New Roman" w:eastAsia="宋体"/>
        </w:rPr>
        <w:t>用于地址巡检，二者共同提升多镜像目录的可维护性。</w:t>
      </w:r>
    </w:p>
    <w:p>
      <w:pPr>
        <w:pStyle w:val="Heading3"/>
      </w:pPr>
      <w:r>
        <w:rPr>
          <w:rFonts w:ascii="Times New Roman" w:hAnsi="Times New Roman" w:eastAsia="宋体"/>
        </w:rPr>
        <w:t>2.3.2 数据贡献与发布流程</w:t>
      </w:r>
    </w:p>
    <w:p>
      <w:r>
        <w:rPr>
          <w:rFonts w:ascii="Times New Roman" w:hAnsi="Times New Roman" w:eastAsia="宋体"/>
        </w:rPr>
        <w:t>一个新数据集进入GriddingMachine依次经历：准备原始文件；通过模板或配置构建器生成YAML；运行</w:t>
      </w:r>
      <w:r>
        <w:rPr>
          <w:rFonts w:ascii="Consolas" w:hAnsi="Consolas" w:eastAsia="等线"/>
        </w:rPr>
        <w:t>process_dataset!</w:t>
      </w:r>
      <w:r>
        <w:rPr>
          <w:rFonts w:ascii="Times New Roman" w:hAnsi="Times New Roman" w:eastAsia="宋体"/>
        </w:rPr>
        <w:t>；检查维度、坐标、变量、数值范围、缺失值和方向图；将标准NetCDF至少上传至一个外部可访问位置，并按条件增加机构镜像；把标签、逻辑路径、URL、文件大小和SHA-256写入</w:t>
      </w:r>
      <w:r>
        <w:rPr>
          <w:rFonts w:ascii="Consolas" w:hAnsi="Consolas" w:eastAsia="等线"/>
        </w:rPr>
        <w:t>Artifacts.yaml</w:t>
      </w:r>
      <w:r>
        <w:rPr>
          <w:rFonts w:ascii="Times New Roman" w:hAnsi="Times New Roman" w:eastAsia="宋体"/>
        </w:rPr>
        <w:t>；发布目录新版本；最后从</w:t>
      </w:r>
      <w:r>
        <w:rPr>
          <w:rFonts w:ascii="Consolas" w:hAnsi="Consolas" w:eastAsia="等线"/>
        </w:rPr>
        <w:t>GriddingMachine.jl</w:t>
      </w:r>
      <w:r>
        <w:rPr>
          <w:rFonts w:ascii="Times New Roman" w:hAnsi="Times New Roman" w:eastAsia="宋体"/>
        </w:rPr>
        <w:t>执行目录更新、下载和读取。机构FTP可以提高校内访问速度，Zenodo或其他公共存储保证校外可用；其他维护者也可在目录条目中增加内容相同的镜像。</w:t>
      </w:r>
    </w:p>
    <w:p>
      <w:r>
        <w:rPr>
          <w:rFonts w:ascii="Times New Roman" w:hAnsi="Times New Roman" w:eastAsia="宋体"/>
        </w:rPr>
        <w:t>数据贡献流程依据版本化指南贯通配置生成、标准化、质量检查、发布、目录登记和下游读取。最终NetCDF与目录项保持一致，并形成包含固定输入路径和完整YAML示例的贡献模板。</w:t>
      </w:r>
    </w:p>
    <w:p>
      <w:pPr>
        <w:pStyle w:val="Heading2"/>
      </w:pPr>
      <w:r>
        <w:rPr>
          <w:rFonts w:ascii="Times New Roman" w:hAnsi="Times New Roman" w:eastAsia="宋体"/>
        </w:rPr>
        <w:t>2.4 多镜像可信分发</w:t>
      </w:r>
    </w:p>
    <w:p>
      <w:pPr>
        <w:pStyle w:val="Heading3"/>
      </w:pPr>
      <w:r>
        <w:rPr>
          <w:rFonts w:ascii="Times New Roman" w:hAnsi="Times New Roman" w:eastAsia="宋体"/>
        </w:rPr>
        <w:t>2.4.1 目录初始化与更新</w:t>
      </w:r>
    </w:p>
    <w:p>
      <w:r>
        <w:rPr>
          <w:rFonts w:ascii="Consolas" w:hAnsi="Consolas" w:eastAsia="等线"/>
        </w:rPr>
        <w:t>GriddingMachine.jl</w:t>
      </w:r>
      <w:r>
        <w:rPr>
          <w:rFonts w:ascii="Times New Roman" w:hAnsi="Times New Roman" w:eastAsia="宋体"/>
        </w:rPr>
        <w:t>通过Collector管理目录和本地文件。</w:t>
      </w:r>
      <w:r>
        <w:rPr>
          <w:rFonts w:ascii="Consolas" w:hAnsi="Consolas" w:eastAsia="等线"/>
        </w:rPr>
        <w:t>configure!</w:t>
      </w:r>
      <w:r>
        <w:rPr>
          <w:rFonts w:ascii="Times New Roman" w:hAnsi="Times New Roman" w:eastAsia="宋体"/>
        </w:rPr>
        <w:t>可从参数或环境变量设置数据根目录、目录URL和本地目录文件；</w:t>
      </w:r>
      <w:r>
        <w:rPr>
          <w:rFonts w:ascii="Consolas" w:hAnsi="Consolas" w:eastAsia="等线"/>
        </w:rPr>
        <w:t>cache</w:t>
      </w:r>
      <w:r>
        <w:rPr>
          <w:rFonts w:ascii="Times New Roman" w:hAnsi="Times New Roman" w:eastAsia="宋体"/>
        </w:rPr>
        <w:t>保存下载临时文件，</w:t>
      </w:r>
      <w:r>
        <w:rPr>
          <w:rFonts w:ascii="Consolas" w:hAnsi="Consolas" w:eastAsia="等线"/>
        </w:rPr>
        <w:t>public</w:t>
      </w:r>
      <w:r>
        <w:rPr>
          <w:rFonts w:ascii="Times New Roman" w:hAnsi="Times New Roman" w:eastAsia="宋体"/>
        </w:rPr>
        <w:t>按条目中的</w:t>
      </w:r>
      <w:r>
        <w:rPr>
          <w:rFonts w:ascii="Consolas" w:hAnsi="Consolas" w:eastAsia="等线"/>
        </w:rPr>
        <w:t>PATH</w:t>
      </w:r>
      <w:r>
        <w:rPr>
          <w:rFonts w:ascii="Times New Roman" w:hAnsi="Times New Roman" w:eastAsia="宋体"/>
        </w:rPr>
        <w:t>保存正式NetCDF。模块初始化负责配置内存状态，目录加载、更新和数据下载均由显式调用触发，使数据访问过程清晰可控。</w:t>
      </w:r>
    </w:p>
    <w:p>
      <w:r>
        <w:rPr>
          <w:rFonts w:ascii="Times New Roman" w:hAnsi="Times New Roman" w:eastAsia="宋体"/>
        </w:rPr>
        <w:t>目录条目以数据标签为键，核心字段包括安全相对路径</w:t>
      </w:r>
      <w:r>
        <w:rPr>
          <w:rFonts w:ascii="Consolas" w:hAnsi="Consolas" w:eastAsia="等线"/>
        </w:rPr>
        <w:t>PATH</w:t>
      </w:r>
      <w:r>
        <w:rPr>
          <w:rFonts w:ascii="Times New Roman" w:hAnsi="Times New Roman" w:eastAsia="宋体"/>
        </w:rPr>
        <w:t>、一个或多个</w:t>
      </w:r>
      <w:r>
        <w:rPr>
          <w:rFonts w:ascii="Consolas" w:hAnsi="Consolas" w:eastAsia="等线"/>
        </w:rPr>
        <w:t>URL</w:t>
      </w:r>
      <w:r>
        <w:rPr>
          <w:rFonts w:ascii="Times New Roman" w:hAnsi="Times New Roman" w:eastAsia="宋体"/>
        </w:rPr>
        <w:t>以及正整数字节数</w:t>
      </w:r>
      <w:r>
        <w:rPr>
          <w:rFonts w:ascii="Consolas" w:hAnsi="Consolas" w:eastAsia="等线"/>
        </w:rPr>
        <w:t>SIZE</w:t>
      </w:r>
      <w:r>
        <w:rPr>
          <w:rFonts w:ascii="Times New Roman" w:hAnsi="Times New Roman" w:eastAsia="宋体"/>
        </w:rPr>
        <w:t>与64位十六进制</w:t>
      </w:r>
      <w:r>
        <w:rPr>
          <w:rFonts w:ascii="Consolas" w:hAnsi="Consolas" w:eastAsia="等线"/>
        </w:rPr>
        <w:t>SHA256</w:t>
      </w:r>
      <w:r>
        <w:rPr>
          <w:rFonts w:ascii="Times New Roman" w:hAnsi="Times New Roman" w:eastAsia="宋体"/>
        </w:rPr>
        <w:t>。加载时对标签字符、路径、URL协议和完整性字段执行schema校验，并提供路径、URL、信息和本地状态查询。可配置根目录与显式网络访问共同支持独立工作环境、离线复现和正式数据管理。</w:t>
      </w:r>
    </w:p>
    <w:p>
      <w:r>
        <w:rPr>
          <w:rFonts w:ascii="Consolas" w:hAnsi="Consolas" w:eastAsia="等线"/>
        </w:rPr>
        <w:t>update_database!</w:t>
      </w:r>
      <w:r>
        <w:rPr>
          <w:rFonts w:ascii="Times New Roman" w:hAnsi="Times New Roman" w:eastAsia="宋体"/>
        </w:rPr>
        <w:t xml:space="preserve"> 调用 </w:t>
      </w:r>
      <w:r>
        <w:rPr>
          <w:rFonts w:ascii="Consolas" w:hAnsi="Consolas" w:eastAsia="等线"/>
        </w:rPr>
        <w:t>download_database!</w:t>
      </w:r>
      <w:r>
        <w:rPr>
          <w:rFonts w:ascii="Times New Roman" w:hAnsi="Times New Roman" w:eastAsia="宋体"/>
        </w:rPr>
        <w:t xml:space="preserve"> 获取目录，验证后再加载为内存状态。调用者可直接提供 YAML 文件 URL，也可使用 Zenodo 落地页；后者仍通过页面中的 </w:t>
      </w:r>
      <w:r>
        <w:rPr>
          <w:rFonts w:ascii="Consolas" w:hAnsi="Consolas" w:eastAsia="等线"/>
        </w:rPr>
        <w:t>Artifacts.yaml</w:t>
      </w:r>
      <w:r>
        <w:rPr>
          <w:rFonts w:ascii="Times New Roman" w:hAnsi="Times New Roman" w:eastAsia="宋体"/>
        </w:rPr>
        <w:t xml:space="preserve"> 链接解析实际下载地址。目录先写入同目录临时文件，解析根节点并执行 schema 校验；通过后备份当前目录为 </w:t>
      </w:r>
      <w:r>
        <w:rPr>
          <w:rFonts w:ascii="Consolas" w:hAnsi="Consolas" w:eastAsia="等线"/>
        </w:rPr>
        <w:t>Artifacts.previous.yaml</w:t>
      </w:r>
      <w:r>
        <w:rPr>
          <w:rFonts w:ascii="Times New Roman" w:hAnsi="Times New Roman" w:eastAsia="宋体"/>
        </w:rPr>
        <w:t>，再替换正式文件。</w:t>
      </w:r>
    </w:p>
    <w:p>
      <w:r>
        <w:rPr>
          <w:rFonts w:ascii="Times New Roman" w:hAnsi="Times New Roman" w:eastAsia="宋体"/>
        </w:rPr>
        <w:t>该机制实现目录与软件版本分离，并以事务替换和备份恢复保护有效目录。目录入口同时支持直接YAML地址与Zenodo落地页解析，适配独立发布与持续更新的数据目录。</w:t>
      </w:r>
    </w:p>
    <w:p>
      <w:pPr>
        <w:pStyle w:val="Heading3"/>
      </w:pPr>
      <w:r>
        <w:rPr>
          <w:rFonts w:ascii="Times New Roman" w:hAnsi="Times New Roman" w:eastAsia="宋体"/>
        </w:rPr>
        <w:t>2.4.2 镜像选择与事务式缓存</w:t>
      </w:r>
    </w:p>
    <w:p>
      <w:r>
        <w:rPr>
          <w:rFonts w:ascii="Consolas" w:hAnsi="Consolas" w:eastAsia="等线"/>
        </w:rPr>
        <w:t>download_dataset!</w:t>
      </w:r>
      <w:r>
        <w:rPr>
          <w:rFonts w:ascii="Times New Roman" w:hAnsi="Times New Roman" w:eastAsia="宋体"/>
        </w:rPr>
        <w:t>接收数据标签；目录刷新、正式文件复用和远端获取由同一接口组织。下载阶段从每个FTP或HTTP(S) URL提取主机名，以可获得的平均往返延迟生成候选顺序；其余地址按目录顺序保留，全部URL共同组成完整回退队列。</w:t>
      </w:r>
    </w:p>
    <w:p>
      <w:r>
        <w:rPr>
          <w:rFonts w:ascii="Times New Roman" w:hAnsi="Times New Roman" w:eastAsia="宋体"/>
        </w:rPr>
        <w:t>下载循环按候选顺序逐一尝试镜像，每次尝试均写入进程级唯一</w:t>
      </w:r>
      <w:r>
        <w:rPr>
          <w:rFonts w:ascii="Consolas" w:hAnsi="Consolas" w:eastAsia="等线"/>
        </w:rPr>
        <w:t>.part</w:t>
      </w:r>
      <w:r>
        <w:rPr>
          <w:rFonts w:ascii="Times New Roman" w:hAnsi="Times New Roman" w:eastAsia="宋体"/>
        </w:rPr>
        <w:t>文件。程序核对文件生成状态、字节数和SHA-256；校验通过后以原子移动进入正式路径，各次尝试的临时内容随当前状态独立回收。</w:t>
      </w:r>
      <w:r>
        <w:rPr>
          <w:rFonts w:ascii="Consolas" w:hAnsi="Consolas" w:eastAsia="等线"/>
        </w:rPr>
        <w:t>require_integrity=true</w:t>
      </w:r>
      <w:r>
        <w:rPr>
          <w:rFonts w:ascii="Times New Roman" w:hAnsi="Times New Roman" w:eastAsia="宋体"/>
        </w:rPr>
        <w:t>提供严格完整性模式，兼容模式承接历史目录。镜像遍历完成后返回包含数据标签和各候选状态的汇总信息，已有正式文件始终保持稳定。</w:t>
      </w:r>
    </w:p>
    <w:p>
      <w:r>
        <w:rPr>
          <w:rFonts w:ascii="Times New Roman" w:hAnsi="Times New Roman" w:eastAsia="宋体"/>
        </w:rPr>
        <w:t>延迟探测用于优化镜像尝试顺序，完整文件下载与</w:t>
      </w:r>
      <w:r>
        <w:rPr>
          <w:rFonts w:ascii="Consolas" w:hAnsi="Consolas" w:eastAsia="等线"/>
        </w:rPr>
        <w:t>SIZE/SHA256</w:t>
      </w:r>
      <w:r>
        <w:rPr>
          <w:rFonts w:ascii="Times New Roman" w:hAnsi="Times New Roman" w:eastAsia="宋体"/>
        </w:rPr>
        <w:t>核验共同确定数据产品的一致性。本文进一步在中科大校园网对同一文件分别执行FTP和Zenodo只读下载，以实际传输表现和SHA-256一致性共同评价镜像获取效果。</w:t>
      </w:r>
    </w:p>
    <w:p>
      <w:r>
        <w:rPr>
          <w:rFonts w:ascii="Times New Roman" w:hAnsi="Times New Roman" w:eastAsia="宋体"/>
        </w:rPr>
        <w:t>每次下载使用</w:t>
      </w:r>
      <w:r>
        <w:rPr>
          <w:rFonts w:ascii="Consolas" w:hAnsi="Consolas" w:eastAsia="等线"/>
        </w:rPr>
        <w:t>cache/.&lt;TAG&gt;.&lt;PID&gt;.part</w:t>
      </w:r>
      <w:r>
        <w:rPr>
          <w:rFonts w:ascii="Times New Roman" w:hAnsi="Times New Roman" w:eastAsia="宋体"/>
        </w:rPr>
        <w:t>，通过完整性校验后移动到正式路径。</w:t>
      </w:r>
      <w:r>
        <w:rPr>
          <w:rFonts w:ascii="Consolas" w:hAnsi="Consolas" w:eastAsia="等线"/>
        </w:rPr>
        <w:t>sync_database!</w:t>
      </w:r>
      <w:r>
        <w:rPr>
          <w:rFonts w:ascii="Times New Roman" w:hAnsi="Times New Roman" w:eastAsia="宋体"/>
        </w:rPr>
        <w:t>在更新目录后遍历标签并复用相同下载逻辑。小型目录参考数据呈现初始化、更新、同步、回退和清理行为，完整历史目录沿用同一事务机制开展批量运维。</w:t>
      </w:r>
    </w:p>
    <w:p>
      <w:r>
        <w:rPr>
          <w:rFonts w:ascii="Times New Roman" w:hAnsi="Times New Roman" w:eastAsia="宋体"/>
        </w:rPr>
        <w:t>镜像状态分析覆盖候选顺序、字节数、SHA-256、缓存恢复和镜像遍历等分发环节。跨操作系统运行与校园网FTP—Zenodo实测共同呈现“事务安全—镜像获取—内容一致”的分发链路。</w:t>
      </w:r>
    </w:p>
    <w:p>
      <w:r>
        <w:rPr>
          <w:rFonts w:ascii="Times New Roman" w:hAnsi="Times New Roman" w:eastAsia="宋体"/>
        </w:rPr>
        <w:t>Collector还提供全库同步、历史数据整理、目录树及数据集状态查询等维护接口。相关命令、参数和状态恢复方式集中列入补充材料与版本化用户指南，正文保留目录更新、镜像获取和内容完整性保障的核心机制。</w:t>
      </w:r>
    </w:p>
    <w:p>
      <w:pPr>
        <w:pStyle w:val="Heading2"/>
      </w:pPr>
      <w:r>
        <w:rPr>
          <w:rFonts w:ascii="Times New Roman" w:hAnsi="Times New Roman" w:eastAsia="宋体"/>
        </w:rPr>
        <w:t>2.5 统一读取与模型就绪接口</w:t>
      </w:r>
    </w:p>
    <w:p>
      <w:pPr>
        <w:pStyle w:val="Heading3"/>
      </w:pPr>
      <w:r>
        <w:rPr>
          <w:rFonts w:ascii="Times New Roman" w:hAnsi="Times New Roman" w:eastAsia="宋体"/>
        </w:rPr>
        <w:t xml:space="preserve">2.5.1 </w:t>
      </w:r>
      <w:r>
        <w:rPr>
          <w:rFonts w:ascii="Consolas" w:hAnsi="Consolas" w:eastAsia="等线"/>
        </w:rPr>
        <w:t>read_dataset</w:t>
      </w:r>
      <w:r>
        <w:rPr>
          <w:rFonts w:ascii="Times New Roman" w:hAnsi="Times New Roman" w:eastAsia="宋体"/>
        </w:rPr>
        <w:t xml:space="preserve"> 统一读取接口</w:t>
      </w:r>
    </w:p>
    <w:p>
      <w:r>
        <w:rPr>
          <w:rFonts w:ascii="Times New Roman" w:hAnsi="Times New Roman" w:eastAsia="宋体"/>
        </w:rPr>
        <w:t>Indexer模块以</w:t>
      </w:r>
      <w:r>
        <w:rPr>
          <w:rFonts w:ascii="Consolas" w:hAnsi="Consolas" w:eastAsia="等线"/>
        </w:rPr>
        <w:t>read_dataset</w:t>
      </w:r>
      <w:r>
        <w:rPr>
          <w:rFonts w:ascii="Times New Roman" w:hAnsi="Times New Roman" w:eastAsia="宋体"/>
        </w:rPr>
        <w:t>统一本地NetCDF路径和目录标签的读取，支持整场数组、指定周期切片、站点全部周期以及站点指定周期4种调用。目录标签在本地缺失时交由Collector下载；旧名称</w:t>
      </w:r>
      <w:r>
        <w:rPr>
          <w:rFonts w:ascii="Consolas" w:hAnsi="Consolas" w:eastAsia="等线"/>
        </w:rPr>
        <w:t>read_LUT</w:t>
      </w:r>
      <w:r>
        <w:rPr>
          <w:rFonts w:ascii="Times New Roman" w:hAnsi="Times New Roman" w:eastAsia="宋体"/>
        </w:rPr>
        <w:t>保留为兼容别名。默认读取</w:t>
      </w:r>
      <w:r>
        <w:rPr>
          <w:rFonts w:ascii="Consolas" w:hAnsi="Consolas" w:eastAsia="等线"/>
        </w:rPr>
        <w:t>data</w:t>
      </w:r>
      <w:r>
        <w:rPr>
          <w:rFonts w:ascii="Times New Roman" w:hAnsi="Times New Roman" w:eastAsia="宋体"/>
        </w:rPr>
        <w:t>，调用者也可显式请求</w:t>
      </w:r>
      <w:r>
        <w:rPr>
          <w:rFonts w:ascii="Consolas" w:hAnsi="Consolas" w:eastAsia="等线"/>
        </w:rPr>
        <w:t>raw_data</w:t>
      </w:r>
      <w:r>
        <w:rPr>
          <w:rFonts w:ascii="Times New Roman" w:hAnsi="Times New Roman" w:eastAsia="宋体"/>
        </w:rPr>
        <w:t>或</w:t>
      </w:r>
      <w:r>
        <w:rPr>
          <w:rFonts w:ascii="Consolas" w:hAnsi="Consolas" w:eastAsia="等线"/>
        </w:rPr>
        <w:t>std</w:t>
      </w:r>
      <w:r>
        <w:rPr>
          <w:rFonts w:ascii="Times New Roman" w:hAnsi="Times New Roman" w:eastAsia="宋体"/>
        </w:rPr>
        <w:t>。读取层直接保留生产端已经标准化的单位、缺失值和物理范围，使处理规则集中于共享生产契约。</w:t>
      </w:r>
    </w:p>
    <w:p>
      <w:r>
        <w:rPr>
          <w:rFonts w:ascii="Times New Roman" w:hAnsi="Times New Roman" w:eastAsia="宋体"/>
        </w:rPr>
        <w:t>站点读取依据全球规则经纬网分辨率把经纬度映射为数组索引，并以标准文件的</w:t>
      </w:r>
      <w:r>
        <w:rPr>
          <w:rFonts w:ascii="Consolas" w:hAnsi="Consolas" w:eastAsia="等线"/>
        </w:rPr>
        <w:t>(lon,lat[,ind])</w:t>
      </w:r>
      <w:r>
        <w:rPr>
          <w:rFonts w:ascii="Times New Roman" w:hAnsi="Times New Roman" w:eastAsia="宋体"/>
        </w:rPr>
        <w:t>顺序及西向东、南向北排列为输入契约。接口面向全球规则网格的原位索引，区域投影、非规则网格和空间插值可在生产端完成标准化；周期索引的月份、日期或小时含义由对应产品元数据解释。</w:t>
      </w:r>
    </w:p>
    <w:p>
      <w:pPr>
        <w:pStyle w:val="Heading3"/>
      </w:pPr>
      <w:r>
        <w:rPr>
          <w:rFonts w:ascii="Times New Roman" w:hAnsi="Times New Roman" w:eastAsia="宋体"/>
        </w:rPr>
        <w:t>2.5.2 模型参数与气象驱动组织</w:t>
      </w:r>
    </w:p>
    <w:p>
      <w:r>
        <w:rPr>
          <w:rFonts w:ascii="Consolas" w:hAnsi="Consolas" w:eastAsia="等线"/>
        </w:rPr>
        <w:t>grid_dict</w:t>
      </w:r>
      <w:r>
        <w:rPr>
          <w:rFonts w:ascii="Times New Roman" w:hAnsi="Times New Roman" w:eastAsia="宋体"/>
        </w:rPr>
        <w:t>实现格点尺度陆面参数融合与模型初始化。该函数从</w:t>
      </w:r>
      <w:r>
        <w:rPr>
          <w:rFonts w:ascii="Consolas" w:hAnsi="Consolas" w:eastAsia="等线"/>
        </w:rPr>
        <w:t>gm1</w:t>
      </w:r>
      <w:r>
        <w:rPr>
          <w:rFonts w:ascii="Times New Roman" w:hAnsi="Times New Roman" w:eastAsia="宋体"/>
        </w:rPr>
        <w:t>或</w:t>
      </w:r>
      <w:r>
        <w:rPr>
          <w:rFonts w:ascii="Consolas" w:hAnsi="Consolas" w:eastAsia="等线"/>
        </w:rPr>
        <w:t>gm2</w:t>
      </w:r>
      <w:r>
        <w:rPr>
          <w:rFonts w:ascii="Times New Roman" w:hAnsi="Times New Roman" w:eastAsia="宋体"/>
        </w:rPr>
        <w:t>标签组提取土壤、冠层、叶片、地形、陆地掩膜和植物功能型产品，依据陆面状态组织相应参数，并对叶面积指数、叶绿素、冠层聚集度和最大羧化速率等季节序列执行Gapfill与逐日重采样。</w:t>
      </w:r>
    </w:p>
    <w:p>
      <w:r>
        <w:rPr>
          <w:rFonts w:ascii="Times New Roman" w:hAnsi="Times New Roman" w:eastAsia="宋体"/>
        </w:rPr>
        <w:t>植物功能型比例进一步用于融合C3/C4植被的叶片光学参数和Medlyn气孔参数，并由</w:t>
      </w:r>
      <w:r>
        <w:rPr>
          <w:rFonts w:ascii="Consolas" w:hAnsi="Consolas" w:eastAsia="等线"/>
        </w:rPr>
        <w:t>VCMAX25</w:t>
      </w:r>
      <w:r>
        <w:rPr>
          <w:rFonts w:ascii="Times New Roman" w:hAnsi="Times New Roman" w:eastAsia="宋体"/>
        </w:rPr>
        <w:t>推导</w:t>
      </w:r>
      <w:r>
        <w:rPr>
          <w:rFonts w:ascii="Consolas" w:hAnsi="Consolas" w:eastAsia="等线"/>
        </w:rPr>
        <w:t>JMAX25</w:t>
      </w:r>
      <w:r>
        <w:rPr>
          <w:rFonts w:ascii="Times New Roman" w:hAnsi="Times New Roman" w:eastAsia="宋体"/>
        </w:rPr>
        <w:t>和</w:t>
      </w:r>
      <w:r>
        <w:rPr>
          <w:rFonts w:ascii="Consolas" w:hAnsi="Consolas" w:eastAsia="等线"/>
        </w:rPr>
        <w:t>B6F</w:t>
      </w:r>
      <w:r>
        <w:rPr>
          <w:rFonts w:ascii="Times New Roman" w:hAnsi="Times New Roman" w:eastAsia="宋体"/>
        </w:rPr>
        <w:t>。输出涵盖位置、分辨率、年份、CO₂、土壤水力性质、冠层结构、植物功能型组成、叶片生物物理和光合参数；字段完整性与</w:t>
      </w:r>
      <w:r>
        <w:rPr>
          <w:rFonts w:ascii="Consolas" w:hAnsi="Consolas" w:eastAsia="等线"/>
        </w:rPr>
        <w:t>NaN</w:t>
      </w:r>
      <w:r>
        <w:rPr>
          <w:rFonts w:ascii="Times New Roman" w:hAnsi="Times New Roman" w:eastAsia="宋体"/>
        </w:rPr>
        <w:t>状态同步进入质量控制。多个标准产品由此形成结构一致的格点级模型输入。</w:t>
      </w:r>
    </w:p>
    <w:p>
      <w:r>
        <w:rPr>
          <w:rFonts w:ascii="Consolas" w:hAnsi="Consolas" w:eastAsia="等线"/>
        </w:rPr>
        <w:t>grid_weather</w:t>
      </w:r>
      <w:r>
        <w:rPr>
          <w:rFonts w:ascii="Times New Roman" w:hAnsi="Times New Roman" w:eastAsia="宋体"/>
        </w:rPr>
        <w:t>实现格点尺度气象驱动组织与时间坐标构建。该函数按年份和格点读取</w:t>
      </w:r>
      <w:r>
        <w:rPr>
          <w:rFonts w:ascii="Consolas" w:hAnsi="Consolas" w:eastAsia="等线"/>
        </w:rPr>
        <w:t>wd1</w:t>
      </w:r>
      <w:r>
        <w:rPr>
          <w:rFonts w:ascii="Times New Roman" w:hAnsi="Times New Roman" w:eastAsia="宋体"/>
        </w:rPr>
        <w:t>中的8个ERA5标签，分别提取地表气压、降水、漫射与直射短波辐射、长波辐射、气温、水汽压亏缺和风速，并依据格点经度换算时区偏移、构建浮点年积日</w:t>
      </w:r>
      <w:r>
        <w:rPr>
          <w:rFonts w:ascii="Consolas" w:hAnsi="Consolas" w:eastAsia="等线"/>
        </w:rPr>
        <w:t>FDOY</w:t>
      </w:r>
      <w:r>
        <w:rPr>
          <w:rFonts w:ascii="Times New Roman" w:hAnsi="Times New Roman" w:eastAsia="宋体"/>
        </w:rPr>
        <w:t>。接口既可直接按经纬度读取，也可从已经加载的全局气象数组提取格点序列，输出字段完整性与</w:t>
      </w:r>
      <w:r>
        <w:rPr>
          <w:rFonts w:ascii="Consolas" w:hAnsi="Consolas" w:eastAsia="等线"/>
        </w:rPr>
        <w:t>NaN</w:t>
      </w:r>
      <w:r>
        <w:rPr>
          <w:rFonts w:ascii="Times New Roman" w:hAnsi="Times New Roman" w:eastAsia="宋体"/>
        </w:rPr>
        <w:t>状态同步进入质量控制。</w:t>
      </w:r>
    </w:p>
    <w:p>
      <w:r>
        <w:rPr>
          <w:rFonts w:ascii="Times New Roman" w:hAnsi="Times New Roman" w:eastAsia="宋体"/>
        </w:rPr>
        <w:t>上述标签驱动的数据访问、陆面参数融合与气象驱动组织能力分别由</w:t>
      </w:r>
      <w:r>
        <w:rPr>
          <w:rFonts w:ascii="Consolas" w:hAnsi="Consolas" w:eastAsia="等线"/>
        </w:rPr>
        <w:t>read_dataset</w:t>
      </w:r>
      <w:r>
        <w:rPr>
          <w:rFonts w:ascii="Times New Roman" w:hAnsi="Times New Roman" w:eastAsia="宋体"/>
        </w:rPr>
        <w:t>、</w:t>
      </w:r>
      <w:r>
        <w:rPr>
          <w:rFonts w:ascii="Consolas" w:hAnsi="Consolas" w:eastAsia="等线"/>
        </w:rPr>
        <w:t>grid_dict</w:t>
      </w:r>
      <w:r>
        <w:rPr>
          <w:rFonts w:ascii="Times New Roman" w:hAnsi="Times New Roman" w:eastAsia="宋体"/>
        </w:rPr>
        <w:t>和</w:t>
      </w:r>
      <w:r>
        <w:rPr>
          <w:rFonts w:ascii="Consolas" w:hAnsi="Consolas" w:eastAsia="等线"/>
        </w:rPr>
        <w:t>grid_weather</w:t>
      </w:r>
      <w:r>
        <w:rPr>
          <w:rFonts w:ascii="Times New Roman" w:hAnsi="Times New Roman" w:eastAsia="宋体"/>
        </w:rPr>
        <w:t>实现。确定性气象参考数据用于核对字段、形状和Emerald最小步进，</w:t>
      </w:r>
      <w:r>
        <w:rPr>
          <w:rFonts w:ascii="Consolas" w:hAnsi="Consolas" w:eastAsia="等线"/>
        </w:rPr>
        <w:t>gm2</w:t>
      </w:r>
      <w:r>
        <w:rPr>
          <w:rFonts w:ascii="Times New Roman" w:hAnsi="Times New Roman" w:eastAsia="宋体"/>
        </w:rPr>
        <w:t>文件则贯通陆面参数链路。</w:t>
      </w:r>
    </w:p>
    <w:p>
      <w:pPr>
        <w:pStyle w:val="Heading2"/>
      </w:pPr>
      <w:r>
        <w:rPr>
          <w:rFonts w:ascii="Times New Roman" w:hAnsi="Times New Roman" w:eastAsia="宋体"/>
        </w:rPr>
        <w:t>2.6 端到端调用路径</w:t>
      </w:r>
    </w:p>
    <w:p>
      <w:r>
        <w:rPr>
          <w:rFonts w:ascii="Times New Roman" w:hAnsi="Times New Roman" w:eastAsia="宋体"/>
        </w:rPr>
        <w:t>与2022版通过标签组织数据访问的思路一致[4]，新版将目录配置、目录更新、完整性下载、统一读取和模型参数组织连接为稳定的公共调用路径。用户依次调用</w:t>
      </w:r>
      <w:r>
        <w:rPr>
          <w:rFonts w:ascii="Consolas" w:hAnsi="Consolas" w:eastAsia="等线"/>
        </w:rPr>
        <w:t>configure!</w:t>
      </w:r>
      <w:r>
        <w:rPr>
          <w:rFonts w:ascii="Times New Roman" w:hAnsi="Times New Roman" w:eastAsia="宋体"/>
        </w:rPr>
        <w:t>、</w:t>
      </w:r>
      <w:r>
        <w:rPr>
          <w:rFonts w:ascii="Consolas" w:hAnsi="Consolas" w:eastAsia="等线"/>
        </w:rPr>
        <w:t>update_database!</w:t>
      </w:r>
      <w:r>
        <w:rPr>
          <w:rFonts w:ascii="Times New Roman" w:hAnsi="Times New Roman" w:eastAsia="宋体"/>
        </w:rPr>
        <w:t>和</w:t>
      </w:r>
      <w:r>
        <w:rPr>
          <w:rFonts w:ascii="Consolas" w:hAnsi="Consolas" w:eastAsia="等线"/>
        </w:rPr>
        <w:t>download_dataset!</w:t>
      </w:r>
      <w:r>
        <w:rPr>
          <w:rFonts w:ascii="Times New Roman" w:hAnsi="Times New Roman" w:eastAsia="宋体"/>
        </w:rPr>
        <w:t>获得经过</w:t>
      </w:r>
      <w:r>
        <w:rPr>
          <w:rFonts w:ascii="Consolas" w:hAnsi="Consolas" w:eastAsia="等线"/>
        </w:rPr>
        <w:t>SIZE/SHA256</w:t>
      </w:r>
      <w:r>
        <w:rPr>
          <w:rFonts w:ascii="Times New Roman" w:hAnsi="Times New Roman" w:eastAsia="宋体"/>
        </w:rPr>
        <w:t>核验的标准产品，再通过</w:t>
      </w:r>
      <w:r>
        <w:rPr>
          <w:rFonts w:ascii="Consolas" w:hAnsi="Consolas" w:eastAsia="等线"/>
        </w:rPr>
        <w:t>read_dataset</w:t>
      </w:r>
      <w:r>
        <w:rPr>
          <w:rFonts w:ascii="Times New Roman" w:hAnsi="Times New Roman" w:eastAsia="宋体"/>
        </w:rPr>
        <w:t>读取整场或格点数据，并由</w:t>
      </w:r>
      <w:r>
        <w:rPr>
          <w:rFonts w:ascii="Consolas" w:hAnsi="Consolas" w:eastAsia="等线"/>
        </w:rPr>
        <w:t>grid_dict</w:t>
      </w:r>
      <w:r>
        <w:rPr>
          <w:rFonts w:ascii="Times New Roman" w:hAnsi="Times New Roman" w:eastAsia="宋体"/>
        </w:rPr>
        <w:t>或</w:t>
      </w:r>
      <w:r>
        <w:rPr>
          <w:rFonts w:ascii="Consolas" w:hAnsi="Consolas" w:eastAsia="等线"/>
        </w:rPr>
        <w:t>grid_weather</w:t>
      </w:r>
      <w:r>
        <w:rPr>
          <w:rFonts w:ascii="Times New Roman" w:hAnsi="Times New Roman" w:eastAsia="宋体"/>
        </w:rPr>
        <w:t>形成模型输入。完整Julia示例、配置字段字典、目录登记及状态恢复命令集中列入补充材料与版本化用户指南，正文突出工作流结构及其科学应用方式。</w:t>
      </w:r>
    </w:p>
    <w:p>
      <w:pPr>
        <w:pStyle w:val="Heading1"/>
      </w:pPr>
      <w:r>
        <w:rPr>
          <w:rFonts w:ascii="Times New Roman" w:hAnsi="Times New Roman" w:eastAsia="宋体"/>
        </w:rPr>
        <w:t>3 应用案例与评价方法</w:t>
      </w:r>
    </w:p>
    <w:p>
      <w:pPr>
        <w:pStyle w:val="Heading2"/>
      </w:pPr>
      <w:r>
        <w:rPr>
          <w:rFonts w:ascii="Times New Roman" w:hAnsi="Times New Roman" w:eastAsia="宋体"/>
        </w:rPr>
        <w:t>3.1 标准产品生产与OISST案例</w:t>
      </w:r>
    </w:p>
    <w:p>
      <w:r>
        <w:rPr>
          <w:rFonts w:ascii="Times New Roman" w:hAnsi="Times New Roman" w:eastAsia="宋体"/>
        </w:rPr>
        <w:t>为展示YAML驱动流程对多维地学数据的标准化能力，本文设计具有明确空间语义的位置编码数组：二维数组由经纬度索引共同编码，三维数组进一步加入周期索引。该设计能够清晰呈现维度交换、方向翻转、经度平移和周期组织前后的对应关系，并为标准NetCDF生产提供逐点参照。</w:t>
      </w:r>
    </w:p>
    <w:p>
      <w:r>
        <w:rPr>
          <w:rFonts w:ascii="Times New Roman" w:hAnsi="Times New Roman" w:eastAsia="宋体"/>
        </w:rPr>
        <w:t>代表性处理实例包括</w:t>
      </w:r>
      <w:r>
        <w:rPr>
          <w:rFonts w:ascii="Consolas" w:hAnsi="Consolas" w:eastAsia="等线"/>
        </w:rPr>
        <w:t>(lon,lat)</w:t>
      </w:r>
      <w:r>
        <w:rPr>
          <w:rFonts w:ascii="Times New Roman" w:hAnsi="Times New Roman" w:eastAsia="宋体"/>
        </w:rPr>
        <w:t>与</w:t>
      </w:r>
      <w:r>
        <w:rPr>
          <w:rFonts w:ascii="Consolas" w:hAnsi="Consolas" w:eastAsia="等线"/>
        </w:rPr>
        <w:t>(lon,lat,ind)</w:t>
      </w:r>
      <w:r>
        <w:rPr>
          <w:rFonts w:ascii="Times New Roman" w:hAnsi="Times New Roman" w:eastAsia="宋体"/>
        </w:rPr>
        <w:t>标准输入、</w:t>
      </w:r>
      <w:r>
        <w:rPr>
          <w:rFonts w:ascii="Consolas" w:hAnsi="Consolas" w:eastAsia="等线"/>
        </w:rPr>
        <w:t>(lat,lon)</w:t>
      </w:r>
      <w:r>
        <w:rPr>
          <w:rFonts w:ascii="Times New Roman" w:hAnsi="Times New Roman" w:eastAsia="宋体"/>
        </w:rPr>
        <w:t>与</w:t>
      </w:r>
      <w:r>
        <w:rPr>
          <w:rFonts w:ascii="Consolas" w:hAnsi="Consolas" w:eastAsia="等线"/>
        </w:rPr>
        <w:t>(ind,lat,lon)</w:t>
      </w:r>
      <w:r>
        <w:rPr>
          <w:rFonts w:ascii="Times New Roman" w:hAnsi="Times New Roman" w:eastAsia="宋体"/>
        </w:rPr>
        <w:t>源排列、纬度和经度翻转、</w:t>
      </w:r>
      <w:r>
        <w:rPr>
          <w:rFonts w:ascii="Consolas" w:hAnsi="Consolas" w:eastAsia="等线"/>
        </w:rPr>
        <w:t>0～360°</w:t>
      </w:r>
      <w:r>
        <w:rPr>
          <w:rFonts w:ascii="Times New Roman" w:hAnsi="Times New Roman" w:eastAsia="宋体"/>
        </w:rPr>
        <w:t>经度平移、线性缩放、范围过滤、Gapfill、</w:t>
      </w:r>
      <w:r>
        <w:rPr>
          <w:rFonts w:ascii="Consolas" w:hAnsi="Consolas" w:eastAsia="等线"/>
        </w:rPr>
        <w:t>data/std</w:t>
      </w:r>
      <w:r>
        <w:rPr>
          <w:rFonts w:ascii="Times New Roman" w:hAnsi="Times New Roman" w:eastAsia="宋体"/>
        </w:rPr>
        <w:t>保存和标签生成。配置字段、变量数量、已有产品和标签状态共同覆盖标准产品从源数据到目录登记的主要环节。</w:t>
      </w:r>
    </w:p>
    <w:p>
      <w:r>
        <w:rPr>
          <w:rFonts w:ascii="Times New Roman" w:hAnsi="Times New Roman" w:eastAsia="宋体"/>
        </w:rPr>
        <w:t>表3从维度（D）、坐标（C）、数值（N）、Gapfill（G）、YAML配置（Y）、输出（O）和空间方向检查（V）7个方面组织31组代表性处理实例。各组对应共享生产契约中的一个关键环节，并以结构、数值或产品状态表征标准化结果。</w:t>
      </w:r>
    </w:p>
    <w:p>
      <w:pPr>
        <w:ind w:firstLine="0"/>
      </w:pPr>
      <w:r>
        <w:rPr>
          <w:rFonts w:ascii="Times New Roman" w:hAnsi="Times New Roman" w:eastAsia="宋体"/>
          <w:b/>
        </w:rPr>
        <w:t>表3 GriddingMachineDatasets标准产品生产能力与质量控制</w:t>
      </w:r>
    </w:p>
    <w:tbl>
      <w:tblPr>
        <w:tblStyle w:val="TableGrid"/>
        <w:tblW w:type="auto" w:w="0"/>
        <w:tblLook w:firstColumn="1" w:firstRow="1" w:lastColumn="0" w:lastRow="0" w:noHBand="0" w:noVBand="1" w:val="04A0"/>
      </w:tblPr>
      <w:tblGrid>
        <w:gridCol w:w="2295"/>
        <w:gridCol w:w="2295"/>
        <w:gridCol w:w="2295"/>
        <w:gridCol w:w="2295"/>
      </w:tblGrid>
      <w:tr>
        <w:tc>
          <w:tcPr>
            <w:tcW w:type="dxa" w:w="2295"/>
            <w:shd w:fill="D9EAF7"/>
          </w:tcPr>
          <w:p>
            <w:r>
              <w:rPr>
                <w:b/>
                <w:sz w:val="18"/>
              </w:rPr>
            </w:r>
            <w:r>
              <w:rPr>
                <w:rFonts w:ascii="Times New Roman" w:hAnsi="Times New Roman" w:eastAsia="宋体"/>
                <w:b/>
                <w:sz w:val="18"/>
              </w:rPr>
              <w:t>环节</w:t>
            </w:r>
          </w:p>
        </w:tc>
        <w:tc>
          <w:tcPr>
            <w:tcW w:type="dxa" w:w="2295"/>
            <w:shd w:fill="D9EAF7"/>
          </w:tcPr>
          <w:p>
            <w:r>
              <w:rPr>
                <w:b/>
                <w:sz w:val="18"/>
              </w:rPr>
            </w:r>
            <w:r>
              <w:rPr>
                <w:rFonts w:ascii="Times New Roman" w:hAnsi="Times New Roman" w:eastAsia="宋体"/>
                <w:b/>
                <w:sz w:val="18"/>
              </w:rPr>
              <w:t>实例数</w:t>
            </w:r>
          </w:p>
        </w:tc>
        <w:tc>
          <w:tcPr>
            <w:tcW w:type="dxa" w:w="2295"/>
            <w:shd w:fill="D9EAF7"/>
          </w:tcPr>
          <w:p>
            <w:r>
              <w:rPr>
                <w:b/>
                <w:sz w:val="18"/>
              </w:rPr>
            </w:r>
            <w:r>
              <w:rPr>
                <w:rFonts w:ascii="Times New Roman" w:hAnsi="Times New Roman" w:eastAsia="宋体"/>
                <w:b/>
                <w:sz w:val="18"/>
              </w:rPr>
              <w:t>主要内容</w:t>
            </w:r>
          </w:p>
        </w:tc>
        <w:tc>
          <w:tcPr>
            <w:tcW w:type="dxa" w:w="2295"/>
            <w:shd w:fill="D9EAF7"/>
          </w:tcPr>
          <w:p>
            <w:r>
              <w:rPr>
                <w:b/>
                <w:sz w:val="18"/>
              </w:rPr>
            </w:r>
            <w:r>
              <w:rPr>
                <w:rFonts w:ascii="Times New Roman" w:hAnsi="Times New Roman" w:eastAsia="宋体"/>
                <w:b/>
                <w:sz w:val="18"/>
              </w:rPr>
              <w:t>处理结果</w:t>
            </w:r>
          </w:p>
        </w:tc>
      </w:tr>
      <w:tr>
        <w:tc>
          <w:tcPr>
            <w:tcW w:type="dxa" w:w="2295"/>
          </w:tcPr>
          <w:p>
            <w:r>
              <w:rPr>
                <w:sz w:val="18"/>
              </w:rPr>
            </w:r>
            <w:r>
              <w:rPr>
                <w:rFonts w:ascii="Times New Roman" w:hAnsi="Times New Roman" w:eastAsia="宋体"/>
                <w:sz w:val="18"/>
              </w:rPr>
              <w:t>D 维度</w:t>
            </w:r>
          </w:p>
        </w:tc>
        <w:tc>
          <w:tcPr>
            <w:tcW w:type="dxa" w:w="2295"/>
          </w:tcPr>
          <w:p>
            <w:r>
              <w:rPr>
                <w:sz w:val="18"/>
              </w:rPr>
            </w:r>
            <w:r>
              <w:rPr>
                <w:rFonts w:ascii="Times New Roman" w:hAnsi="Times New Roman" w:eastAsia="宋体"/>
                <w:sz w:val="18"/>
              </w:rPr>
              <w:t>5</w:t>
            </w:r>
          </w:p>
        </w:tc>
        <w:tc>
          <w:tcPr>
            <w:tcW w:type="dxa" w:w="2295"/>
          </w:tcPr>
          <w:p>
            <w:r>
              <w:rPr>
                <w:sz w:val="18"/>
              </w:rPr>
            </w:r>
            <w:r>
              <w:rPr>
                <w:rFonts w:ascii="Times New Roman" w:hAnsi="Times New Roman" w:eastAsia="宋体"/>
                <w:sz w:val="18"/>
              </w:rPr>
              <w:t>2D/3D标准顺序、</w:t>
            </w:r>
            <w:r>
              <w:rPr>
                <w:rFonts w:ascii="Consolas" w:hAnsi="Consolas" w:eastAsia="等线"/>
                <w:sz w:val="18"/>
              </w:rPr>
              <w:t>(lat,lon)</w:t>
            </w:r>
            <w:r>
              <w:rPr>
                <w:rFonts w:ascii="Times New Roman" w:hAnsi="Times New Roman" w:eastAsia="宋体"/>
                <w:sz w:val="18"/>
              </w:rPr>
              <w:t>、</w:t>
            </w:r>
            <w:r>
              <w:rPr>
                <w:rFonts w:ascii="Consolas" w:hAnsi="Consolas" w:eastAsia="等线"/>
                <w:sz w:val="18"/>
              </w:rPr>
              <w:t>(ind,lat,lon)</w:t>
            </w:r>
            <w:r>
              <w:rPr>
                <w:rFonts w:ascii="Times New Roman" w:hAnsi="Times New Roman" w:eastAsia="宋体"/>
                <w:sz w:val="18"/>
              </w:rPr>
              <w:t>和维度约束</w:t>
            </w:r>
          </w:p>
        </w:tc>
        <w:tc>
          <w:tcPr>
            <w:tcW w:type="dxa" w:w="2295"/>
          </w:tcPr>
          <w:p>
            <w:r>
              <w:rPr>
                <w:sz w:val="18"/>
              </w:rPr>
            </w:r>
            <w:r>
              <w:rPr>
                <w:rFonts w:ascii="Times New Roman" w:hAnsi="Times New Roman" w:eastAsia="宋体"/>
                <w:sz w:val="18"/>
              </w:rPr>
              <w:t>输出形状、维度名及逐点位置</w:t>
            </w:r>
          </w:p>
        </w:tc>
      </w:tr>
      <w:tr>
        <w:tc>
          <w:tcPr>
            <w:tcW w:type="dxa" w:w="2295"/>
          </w:tcPr>
          <w:p>
            <w:r>
              <w:rPr>
                <w:sz w:val="18"/>
              </w:rPr>
            </w:r>
            <w:r>
              <w:rPr>
                <w:rFonts w:ascii="Times New Roman" w:hAnsi="Times New Roman" w:eastAsia="宋体"/>
                <w:sz w:val="18"/>
              </w:rPr>
              <w:t>C 坐标</w:t>
            </w:r>
          </w:p>
        </w:tc>
        <w:tc>
          <w:tcPr>
            <w:tcW w:type="dxa" w:w="2295"/>
          </w:tcPr>
          <w:p>
            <w:r>
              <w:rPr>
                <w:sz w:val="18"/>
              </w:rPr>
            </w:r>
            <w:r>
              <w:rPr>
                <w:rFonts w:ascii="Times New Roman" w:hAnsi="Times New Roman" w:eastAsia="宋体"/>
                <w:sz w:val="18"/>
              </w:rPr>
              <w:t>4</w:t>
            </w:r>
          </w:p>
        </w:tc>
        <w:tc>
          <w:tcPr>
            <w:tcW w:type="dxa" w:w="2295"/>
          </w:tcPr>
          <w:p>
            <w:r>
              <w:rPr>
                <w:sz w:val="18"/>
              </w:rPr>
            </w:r>
            <w:r>
              <w:rPr>
                <w:rFonts w:ascii="Times New Roman" w:hAnsi="Times New Roman" w:eastAsia="宋体"/>
                <w:sz w:val="18"/>
              </w:rPr>
              <w:t>纬度翻转、经度翻转、</w:t>
            </w:r>
            <w:r>
              <w:rPr>
                <w:rFonts w:ascii="Consolas" w:hAnsi="Consolas" w:eastAsia="等线"/>
                <w:sz w:val="18"/>
              </w:rPr>
              <w:t>0～360°</w:t>
            </w:r>
            <w:r>
              <w:rPr>
                <w:rFonts w:ascii="Times New Roman" w:hAnsi="Times New Roman" w:eastAsia="宋体"/>
                <w:sz w:val="18"/>
              </w:rPr>
              <w:t>平移、组合变换</w:t>
            </w:r>
          </w:p>
        </w:tc>
        <w:tc>
          <w:tcPr>
            <w:tcW w:type="dxa" w:w="2295"/>
          </w:tcPr>
          <w:p>
            <w:r>
              <w:rPr>
                <w:sz w:val="18"/>
              </w:rPr>
            </w:r>
            <w:r>
              <w:rPr>
                <w:rFonts w:ascii="Times New Roman" w:hAnsi="Times New Roman" w:eastAsia="宋体"/>
                <w:sz w:val="18"/>
              </w:rPr>
              <w:t>坐标方向及位置编码值</w:t>
            </w:r>
          </w:p>
        </w:tc>
      </w:tr>
      <w:tr>
        <w:tc>
          <w:tcPr>
            <w:tcW w:type="dxa" w:w="2295"/>
          </w:tcPr>
          <w:p>
            <w:r>
              <w:rPr>
                <w:sz w:val="18"/>
              </w:rPr>
            </w:r>
            <w:r>
              <w:rPr>
                <w:rFonts w:ascii="Times New Roman" w:hAnsi="Times New Roman" w:eastAsia="宋体"/>
                <w:sz w:val="18"/>
              </w:rPr>
              <w:t>N 数值</w:t>
            </w:r>
          </w:p>
        </w:tc>
        <w:tc>
          <w:tcPr>
            <w:tcW w:type="dxa" w:w="2295"/>
          </w:tcPr>
          <w:p>
            <w:r>
              <w:rPr>
                <w:sz w:val="18"/>
              </w:rPr>
            </w:r>
            <w:r>
              <w:rPr>
                <w:rFonts w:ascii="Times New Roman" w:hAnsi="Times New Roman" w:eastAsia="宋体"/>
                <w:sz w:val="18"/>
              </w:rPr>
              <w:t>4</w:t>
            </w:r>
          </w:p>
        </w:tc>
        <w:tc>
          <w:tcPr>
            <w:tcW w:type="dxa" w:w="2295"/>
          </w:tcPr>
          <w:p>
            <w:r>
              <w:rPr>
                <w:sz w:val="18"/>
              </w:rPr>
            </w:r>
            <w:r>
              <w:rPr>
                <w:rFonts w:ascii="Times New Roman" w:hAnsi="Times New Roman" w:eastAsia="宋体"/>
                <w:sz w:val="18"/>
              </w:rPr>
              <w:t>Float32、线性缩放、有效范围和原值处理</w:t>
            </w:r>
          </w:p>
        </w:tc>
        <w:tc>
          <w:tcPr>
            <w:tcW w:type="dxa" w:w="2295"/>
          </w:tcPr>
          <w:p>
            <w:r>
              <w:rPr>
                <w:sz w:val="18"/>
              </w:rPr>
            </w:r>
            <w:r>
              <w:rPr>
                <w:rFonts w:ascii="Times New Roman" w:hAnsi="Times New Roman" w:eastAsia="宋体"/>
                <w:sz w:val="18"/>
              </w:rPr>
              <w:t>最大绝对和相对误差、NaN掩膜</w:t>
            </w:r>
          </w:p>
        </w:tc>
      </w:tr>
      <w:tr>
        <w:tc>
          <w:tcPr>
            <w:tcW w:type="dxa" w:w="2295"/>
          </w:tcPr>
          <w:p>
            <w:r>
              <w:rPr>
                <w:sz w:val="18"/>
              </w:rPr>
            </w:r>
            <w:r>
              <w:rPr>
                <w:rFonts w:ascii="Times New Roman" w:hAnsi="Times New Roman" w:eastAsia="宋体"/>
                <w:sz w:val="18"/>
              </w:rPr>
              <w:t>G Gapfill</w:t>
            </w:r>
          </w:p>
        </w:tc>
        <w:tc>
          <w:tcPr>
            <w:tcW w:type="dxa" w:w="2295"/>
          </w:tcPr>
          <w:p>
            <w:r>
              <w:rPr>
                <w:sz w:val="18"/>
              </w:rPr>
            </w:r>
            <w:r>
              <w:rPr>
                <w:rFonts w:ascii="Times New Roman" w:hAnsi="Times New Roman" w:eastAsia="宋体"/>
                <w:sz w:val="18"/>
              </w:rPr>
              <w:t>8</w:t>
            </w:r>
          </w:p>
        </w:tc>
        <w:tc>
          <w:tcPr>
            <w:tcW w:type="dxa" w:w="2295"/>
          </w:tcPr>
          <w:p>
            <w:r>
              <w:rPr>
                <w:sz w:val="18"/>
              </w:rPr>
            </w:r>
            <w:r>
              <w:rPr>
                <w:rFonts w:ascii="Times New Roman" w:hAnsi="Times New Roman" w:eastAsia="宋体"/>
                <w:sz w:val="18"/>
              </w:rPr>
              <w:t>常数、</w:t>
            </w:r>
            <w:r>
              <w:rPr>
                <w:rFonts w:ascii="Consolas" w:hAnsi="Consolas" w:eastAsia="等线"/>
                <w:sz w:val="18"/>
              </w:rPr>
              <w:t>nanmean</w:t>
            </w:r>
            <w:r>
              <w:rPr>
                <w:rFonts w:ascii="Times New Roman" w:hAnsi="Times New Roman" w:eastAsia="宋体"/>
                <w:sz w:val="18"/>
              </w:rPr>
              <w:t>、原值保持、陆地完整、全域完整和整数化</w:t>
            </w:r>
          </w:p>
        </w:tc>
        <w:tc>
          <w:tcPr>
            <w:tcW w:type="dxa" w:w="2295"/>
          </w:tcPr>
          <w:p>
            <w:r>
              <w:rPr>
                <w:sz w:val="18"/>
              </w:rPr>
            </w:r>
            <w:r>
              <w:rPr>
                <w:rFonts w:ascii="Times New Roman" w:hAnsi="Times New Roman" w:eastAsia="宋体"/>
                <w:sz w:val="18"/>
              </w:rPr>
              <w:t>填补位置、填充值、覆盖范围和处理记录</w:t>
            </w:r>
          </w:p>
        </w:tc>
      </w:tr>
      <w:tr>
        <w:tc>
          <w:tcPr>
            <w:tcW w:type="dxa" w:w="2295"/>
          </w:tcPr>
          <w:p>
            <w:r>
              <w:rPr>
                <w:sz w:val="18"/>
              </w:rPr>
            </w:r>
            <w:r>
              <w:rPr>
                <w:rFonts w:ascii="Times New Roman" w:hAnsi="Times New Roman" w:eastAsia="宋体"/>
                <w:sz w:val="18"/>
              </w:rPr>
              <w:t>Y 配置</w:t>
            </w:r>
          </w:p>
        </w:tc>
        <w:tc>
          <w:tcPr>
            <w:tcW w:type="dxa" w:w="2295"/>
          </w:tcPr>
          <w:p>
            <w:r>
              <w:rPr>
                <w:sz w:val="18"/>
              </w:rPr>
            </w:r>
            <w:r>
              <w:rPr>
                <w:rFonts w:ascii="Times New Roman" w:hAnsi="Times New Roman" w:eastAsia="宋体"/>
                <w:sz w:val="18"/>
              </w:rPr>
              <w:t>4</w:t>
            </w:r>
          </w:p>
        </w:tc>
        <w:tc>
          <w:tcPr>
            <w:tcW w:type="dxa" w:w="2295"/>
          </w:tcPr>
          <w:p>
            <w:r>
              <w:rPr>
                <w:sz w:val="18"/>
              </w:rPr>
            </w:r>
            <w:r>
              <w:rPr>
                <w:rFonts w:ascii="Times New Roman" w:hAnsi="Times New Roman" w:eastAsia="宋体"/>
                <w:sz w:val="18"/>
              </w:rPr>
              <w:t>最小配置、字段完整性、构建器生成配置、数组长度一致性</w:t>
            </w:r>
          </w:p>
        </w:tc>
        <w:tc>
          <w:tcPr>
            <w:tcW w:type="dxa" w:w="2295"/>
          </w:tcPr>
          <w:p>
            <w:r>
              <w:rPr>
                <w:sz w:val="18"/>
              </w:rPr>
            </w:r>
            <w:r>
              <w:rPr>
                <w:rFonts w:ascii="Times New Roman" w:hAnsi="Times New Roman" w:eastAsia="宋体"/>
                <w:sz w:val="18"/>
              </w:rPr>
              <w:t>配置解析、字段定位和产品生成</w:t>
            </w:r>
          </w:p>
        </w:tc>
      </w:tr>
      <w:tr>
        <w:tc>
          <w:tcPr>
            <w:tcW w:type="dxa" w:w="2295"/>
          </w:tcPr>
          <w:p>
            <w:r>
              <w:rPr>
                <w:sz w:val="18"/>
              </w:rPr>
            </w:r>
            <w:r>
              <w:rPr>
                <w:rFonts w:ascii="Times New Roman" w:hAnsi="Times New Roman" w:eastAsia="宋体"/>
                <w:sz w:val="18"/>
              </w:rPr>
              <w:t>O 输出</w:t>
            </w:r>
          </w:p>
        </w:tc>
        <w:tc>
          <w:tcPr>
            <w:tcW w:type="dxa" w:w="2295"/>
          </w:tcPr>
          <w:p>
            <w:r>
              <w:rPr>
                <w:sz w:val="18"/>
              </w:rPr>
            </w:r>
            <w:r>
              <w:rPr>
                <w:rFonts w:ascii="Times New Roman" w:hAnsi="Times New Roman" w:eastAsia="宋体"/>
                <w:sz w:val="18"/>
              </w:rPr>
              <w:t>4</w:t>
            </w:r>
          </w:p>
        </w:tc>
        <w:tc>
          <w:tcPr>
            <w:tcW w:type="dxa" w:w="2295"/>
          </w:tcPr>
          <w:p>
            <w:r>
              <w:rPr>
                <w:sz w:val="18"/>
              </w:rPr>
            </w:r>
            <w:r>
              <w:rPr>
                <w:rFonts w:ascii="Consolas" w:hAnsi="Consolas" w:eastAsia="等线"/>
                <w:sz w:val="18"/>
              </w:rPr>
              <w:t>data</w:t>
            </w:r>
            <w:r>
              <w:rPr>
                <w:rFonts w:ascii="Times New Roman" w:hAnsi="Times New Roman" w:eastAsia="宋体"/>
                <w:sz w:val="18"/>
              </w:rPr>
              <w:t>、</w:t>
            </w:r>
            <w:r>
              <w:rPr>
                <w:rFonts w:ascii="Consolas" w:hAnsi="Consolas" w:eastAsia="等线"/>
                <w:sz w:val="18"/>
              </w:rPr>
              <w:t>std</w:t>
            </w:r>
            <w:r>
              <w:rPr>
                <w:rFonts w:ascii="Times New Roman" w:hAnsi="Times New Roman" w:eastAsia="宋体"/>
                <w:sz w:val="18"/>
              </w:rPr>
              <w:t>、已有文件、标签状态</w:t>
            </w:r>
          </w:p>
        </w:tc>
        <w:tc>
          <w:tcPr>
            <w:tcW w:type="dxa" w:w="2295"/>
          </w:tcPr>
          <w:p>
            <w:r>
              <w:rPr>
                <w:sz w:val="18"/>
              </w:rPr>
            </w:r>
            <w:r>
              <w:rPr>
                <w:rFonts w:ascii="Times New Roman" w:hAnsi="Times New Roman" w:eastAsia="宋体"/>
                <w:sz w:val="18"/>
              </w:rPr>
              <w:t>变量、属性、版本策略和标签唯一性</w:t>
            </w:r>
          </w:p>
        </w:tc>
      </w:tr>
      <w:tr>
        <w:tc>
          <w:tcPr>
            <w:tcW w:type="dxa" w:w="2295"/>
          </w:tcPr>
          <w:p>
            <w:r>
              <w:rPr>
                <w:sz w:val="18"/>
              </w:rPr>
            </w:r>
            <w:r>
              <w:rPr>
                <w:rFonts w:ascii="Times New Roman" w:hAnsi="Times New Roman" w:eastAsia="宋体"/>
                <w:sz w:val="18"/>
              </w:rPr>
              <w:t>V 方向检查</w:t>
            </w:r>
          </w:p>
        </w:tc>
        <w:tc>
          <w:tcPr>
            <w:tcW w:type="dxa" w:w="2295"/>
          </w:tcPr>
          <w:p>
            <w:r>
              <w:rPr>
                <w:sz w:val="18"/>
              </w:rPr>
            </w:r>
            <w:r>
              <w:rPr>
                <w:rFonts w:ascii="Times New Roman" w:hAnsi="Times New Roman" w:eastAsia="宋体"/>
                <w:sz w:val="18"/>
              </w:rPr>
              <w:t>2</w:t>
            </w:r>
          </w:p>
        </w:tc>
        <w:tc>
          <w:tcPr>
            <w:tcW w:type="dxa" w:w="2295"/>
          </w:tcPr>
          <w:p>
            <w:r>
              <w:rPr>
                <w:sz w:val="18"/>
              </w:rPr>
            </w:r>
            <w:r>
              <w:rPr>
                <w:rFonts w:ascii="Times New Roman" w:hAnsi="Times New Roman" w:eastAsia="宋体"/>
                <w:sz w:val="18"/>
              </w:rPr>
              <w:t>正向图识别、反向图识别</w:t>
            </w:r>
          </w:p>
        </w:tc>
        <w:tc>
          <w:tcPr>
            <w:tcW w:type="dxa" w:w="2295"/>
          </w:tcPr>
          <w:p>
            <w:r>
              <w:rPr>
                <w:sz w:val="18"/>
              </w:rPr>
            </w:r>
            <w:r>
              <w:rPr>
                <w:rFonts w:ascii="Times New Roman" w:hAnsi="Times New Roman" w:eastAsia="宋体"/>
                <w:sz w:val="18"/>
              </w:rPr>
              <w:t>空间方向与坐标语义一致</w:t>
            </w:r>
          </w:p>
        </w:tc>
      </w:tr>
    </w:tbl>
    <w:p>
      <w:pPr>
        <w:ind w:firstLine="0"/>
      </w:pPr>
      <w:r>
        <w:rPr>
          <w:rFonts w:ascii="Times New Roman" w:hAnsi="Times New Roman" w:eastAsia="宋体"/>
          <w:b/>
        </w:rPr>
        <w:t>Table 3 Standardized-product production capabilities and quality control in GriddingMachineDatasets.</w:t>
      </w:r>
      <w:r>
        <w:rPr>
          <w:rFonts w:ascii="Times New Roman" w:hAnsi="Times New Roman" w:eastAsia="宋体"/>
        </w:rPr>
        <w:t xml:space="preserve"> The representative cases cover dimensions, coordinates, numerical transformations, gap filling, YAML configuration, product output, and spatial-orientation inspection.</w:t>
      </w:r>
    </w:p>
    <w:p>
      <w:r>
        <w:rPr>
          <w:rFonts w:ascii="Times New Roman" w:hAnsi="Times New Roman" w:eastAsia="宋体"/>
        </w:rPr>
        <w:t>产品质量控制覆盖变量、维度、形状、属性、坐标方向、数值范围和Gapfill结果。输出数组与位置编码参照逐点对应，Float32转换采用统一的绝对和相对容差；配置与产品状态通过明确的流程信息反馈给维护者。质量报告同步保存最大绝对误差、最大相对误差、处理历史和重复生产一致性。</w:t>
      </w:r>
    </w:p>
    <w:p>
      <w:r>
        <w:rPr>
          <w:rFonts w:ascii="Times New Roman" w:hAnsi="Times New Roman" w:eastAsia="宋体"/>
        </w:rPr>
        <w:t>标准产品生产流程在各操作系统环境中保持一致行为。29组自动处理实例连续完成，正向图和南北反转图得到准确区分，体现了共享生产契约在数组变换、配置解析和空间方向控制方面的一致性。</w:t>
      </w:r>
    </w:p>
    <w:p>
      <w:r>
        <w:rPr>
          <w:rFonts w:ascii="Consolas" w:hAnsi="Consolas" w:eastAsia="等线"/>
        </w:rPr>
        <w:t>YamlBuilder</w:t>
      </w:r>
      <w:r>
        <w:rPr>
          <w:rFonts w:ascii="Times New Roman" w:hAnsi="Times New Roman" w:eastAsia="宋体"/>
        </w:rPr>
        <w:t>面向二维数据、含</w:t>
      </w:r>
      <w:r>
        <w:rPr>
          <w:rFonts w:ascii="Consolas" w:hAnsi="Consolas" w:eastAsia="等线"/>
        </w:rPr>
        <w:t>std</w:t>
      </w:r>
      <w:r>
        <w:rPr>
          <w:rFonts w:ascii="Times New Roman" w:hAnsi="Times New Roman" w:eastAsia="宋体"/>
        </w:rPr>
        <w:t>的三维数据和经纬度变换数据生成符合共享schema的配置，并将配置直接交给</w:t>
      </w:r>
      <w:r>
        <w:rPr>
          <w:rFonts w:ascii="Consolas" w:hAnsi="Consolas" w:eastAsia="等线"/>
        </w:rPr>
        <w:t>process_dataset!</w:t>
      </w:r>
      <w:r>
        <w:rPr>
          <w:rFonts w:ascii="Times New Roman" w:hAnsi="Times New Roman" w:eastAsia="宋体"/>
        </w:rPr>
        <w:t>。数据贡献案例进一步贯通配置生成、标准化、自动与人工质量检查、产品发布、</w:t>
      </w:r>
      <w:r>
        <w:rPr>
          <w:rFonts w:ascii="Consolas" w:hAnsi="Consolas" w:eastAsia="等线"/>
        </w:rPr>
        <w:t>Artifacts.yaml</w:t>
      </w:r>
      <w:r>
        <w:rPr>
          <w:rFonts w:ascii="Times New Roman" w:hAnsi="Times New Roman" w:eastAsia="宋体"/>
        </w:rPr>
        <w:t>登记以及下游更新、下载和读取，形成面向数据贡献者的完整生产入口。</w:t>
      </w:r>
    </w:p>
    <w:p>
      <w:r>
        <w:rPr>
          <w:rFonts w:ascii="Times New Roman" w:hAnsi="Times New Roman" w:eastAsia="宋体"/>
        </w:rPr>
        <w:t>OISST真实产品用于进一步呈现共享生产契约对异构源结构的适配能力。案例采用NOAA/NCEI 0.25°逐日最优插值海表温度OISST V2.1中仅使用AVHRR数据的正式产品[9]，选取2022年2月25日文件。原始</w:t>
      </w:r>
      <w:r>
        <w:rPr>
          <w:rFonts w:ascii="Consolas" w:hAnsi="Consolas" w:eastAsia="等线"/>
        </w:rPr>
        <w:t>sst</w:t>
      </w:r>
      <w:r>
        <w:rPr>
          <w:rFonts w:ascii="Times New Roman" w:hAnsi="Times New Roman" w:eastAsia="宋体"/>
        </w:rPr>
        <w:t>变量在NetCDF中声明为</w:t>
      </w:r>
      <w:r>
        <w:rPr>
          <w:rFonts w:ascii="Consolas" w:hAnsi="Consolas" w:eastAsia="等线"/>
        </w:rPr>
        <w:t>time×zlev×lat×lon</w:t>
      </w:r>
      <w:r>
        <w:rPr>
          <w:rFonts w:ascii="Times New Roman" w:hAnsi="Times New Roman" w:eastAsia="宋体"/>
        </w:rPr>
        <w:t>，其中</w:t>
      </w:r>
      <w:r>
        <w:rPr>
          <w:rFonts w:ascii="Consolas" w:hAnsi="Consolas" w:eastAsia="等线"/>
        </w:rPr>
        <w:t>zlev</w:t>
      </w:r>
      <w:r>
        <w:rPr>
          <w:rFonts w:ascii="Times New Roman" w:hAnsi="Times New Roman" w:eastAsia="宋体"/>
        </w:rPr>
        <w:t>和</w:t>
      </w:r>
      <w:r>
        <w:rPr>
          <w:rFonts w:ascii="Consolas" w:hAnsi="Consolas" w:eastAsia="等线"/>
        </w:rPr>
        <w:t>time</w:t>
      </w:r>
      <w:r>
        <w:rPr>
          <w:rFonts w:ascii="Times New Roman" w:hAnsi="Times New Roman" w:eastAsia="宋体"/>
        </w:rPr>
        <w:t>均为单例维度；Julia读取后的数组顺序为</w:t>
      </w:r>
      <w:r>
        <w:rPr>
          <w:rFonts w:ascii="Consolas" w:hAnsi="Consolas" w:eastAsia="等线"/>
        </w:rPr>
        <w:t>lon×lat×zlev×time</w:t>
      </w:r>
      <w:r>
        <w:rPr>
          <w:rFonts w:ascii="Times New Roman" w:hAnsi="Times New Roman" w:eastAsia="宋体"/>
        </w:rPr>
        <w:t>，形状为1440×720×1×1。经度覆盖0.125°～359.875°，存储类型为Int16，并以0.01缩放因子解码为摄氏度。</w:t>
      </w:r>
    </w:p>
    <w:p>
      <w:r>
        <w:rPr>
          <w:rFonts w:ascii="Times New Roman" w:hAnsi="Times New Roman" w:eastAsia="宋体"/>
        </w:rPr>
        <w:t>版本化源适配器提取唯一的垂向层和时间层，共享YAML契约进一步完成维度声明、</w:t>
      </w:r>
      <w:r>
        <w:rPr>
          <w:rFonts w:ascii="Consolas" w:hAnsi="Consolas" w:eastAsia="等线"/>
        </w:rPr>
        <w:t>0°～360°</w:t>
      </w:r>
      <w:r>
        <w:rPr>
          <w:rFonts w:ascii="Times New Roman" w:hAnsi="Times New Roman" w:eastAsia="宋体"/>
        </w:rPr>
        <w:t>至</w:t>
      </w:r>
      <w:r>
        <w:rPr>
          <w:rFonts w:ascii="Consolas" w:hAnsi="Consolas" w:eastAsia="等线"/>
        </w:rPr>
        <w:t>[−180°, 180°)</w:t>
      </w:r>
      <w:r>
        <w:rPr>
          <w:rFonts w:ascii="Times New Roman" w:hAnsi="Times New Roman" w:eastAsia="宋体"/>
        </w:rPr>
        <w:t>的经度重排、有效范围控制和缺失值策略，生成</w:t>
      </w:r>
      <w:r>
        <w:rPr>
          <w:rFonts w:ascii="Consolas" w:hAnsi="Consolas" w:eastAsia="等线"/>
        </w:rPr>
        <w:t>SST_OISST_4X_1D_20220225_V1</w:t>
      </w:r>
      <w:r>
        <w:rPr>
          <w:rFonts w:ascii="Times New Roman" w:hAnsi="Times New Roman" w:eastAsia="宋体"/>
        </w:rPr>
        <w:t>标准产品。</w:t>
      </w:r>
    </w:p>
    <w:p>
      <w:r>
        <w:rPr>
          <w:rFonts w:ascii="Times New Roman" w:hAnsi="Times New Roman" w:eastAsia="宋体"/>
        </w:rPr>
        <w:t>独立参考流程直接读取未缩放的Int16存储值，根据原始</w:t>
      </w:r>
      <w:r>
        <w:rPr>
          <w:rFonts w:ascii="Consolas" w:hAnsi="Consolas" w:eastAsia="等线"/>
        </w:rPr>
        <w:t>scale_factor</w:t>
      </w:r>
      <w:r>
        <w:rPr>
          <w:rFonts w:ascii="Times New Roman" w:hAnsi="Times New Roman" w:eastAsia="宋体"/>
        </w:rPr>
        <w:t>、</w:t>
      </w:r>
      <w:r>
        <w:rPr>
          <w:rFonts w:ascii="Consolas" w:hAnsi="Consolas" w:eastAsia="等线"/>
        </w:rPr>
        <w:t>add_offset</w:t>
      </w:r>
      <w:r>
        <w:rPr>
          <w:rFonts w:ascii="Times New Roman" w:hAnsi="Times New Roman" w:eastAsia="宋体"/>
        </w:rPr>
        <w:t>和</w:t>
      </w:r>
      <w:r>
        <w:rPr>
          <w:rFonts w:ascii="Consolas" w:hAnsi="Consolas" w:eastAsia="等线"/>
        </w:rPr>
        <w:t>_FillValue</w:t>
      </w:r>
      <w:r>
        <w:rPr>
          <w:rFonts w:ascii="Times New Roman" w:hAnsi="Times New Roman" w:eastAsia="宋体"/>
        </w:rPr>
        <w:t>构造物理值与缺失值掩膜，并独立计算目标经度索引。参考结果记录全场统计量、10个确定性有效格点和10个缺失格点。标准产品连续生成3次，逐点比较坐标、有效值掩膜和物理值；随后由本地权威文件生成包含</w:t>
      </w:r>
      <w:r>
        <w:rPr>
          <w:rFonts w:ascii="Consolas" w:hAnsi="Consolas" w:eastAsia="等线"/>
        </w:rPr>
        <w:t>PATH/URL/SIZE/SHA256</w:t>
      </w:r>
      <w:r>
        <w:rPr>
          <w:rFonts w:ascii="Times New Roman" w:hAnsi="Times New Roman" w:eastAsia="宋体"/>
        </w:rPr>
        <w:t>的目录条目，通过回环HTTP执行事务式下载，并以</w:t>
      </w:r>
      <w:r>
        <w:rPr>
          <w:rFonts w:ascii="Consolas" w:hAnsi="Consolas" w:eastAsia="等线"/>
        </w:rPr>
        <w:t>read_dataset</w:t>
      </w:r>
      <w:r>
        <w:rPr>
          <w:rFonts w:ascii="Times New Roman" w:hAnsi="Times New Roman" w:eastAsia="宋体"/>
        </w:rPr>
        <w:t>完成整场读取核对。</w:t>
      </w:r>
    </w:p>
    <w:p>
      <w:pPr>
        <w:pStyle w:val="Heading2"/>
      </w:pPr>
      <w:r>
        <w:rPr>
          <w:rFonts w:ascii="Times New Roman" w:hAnsi="Times New Roman" w:eastAsia="宋体"/>
        </w:rPr>
        <w:t>3.2 直接NetCDF分发效率评价</w:t>
      </w:r>
    </w:p>
    <w:p>
      <w:r>
        <w:rPr>
          <w:rFonts w:ascii="Times New Roman" w:hAnsi="Times New Roman" w:eastAsia="宋体"/>
        </w:rPr>
        <w:t>直接NetCDF分发效率采用二维静态高程</w:t>
      </w:r>
      <w:r>
        <w:rPr>
          <w:rFonts w:ascii="Consolas" w:hAnsi="Consolas" w:eastAsia="等线"/>
        </w:rPr>
        <w:t>ELEV_4X_1Y_V1</w:t>
      </w:r>
      <w:r>
        <w:rPr>
          <w:rFonts w:ascii="Times New Roman" w:hAnsi="Times New Roman" w:eastAsia="宋体"/>
        </w:rPr>
        <w:t>和三维8日叶面积指数</w:t>
      </w:r>
      <w:r>
        <w:rPr>
          <w:rFonts w:ascii="Consolas" w:hAnsi="Consolas" w:eastAsia="等线"/>
        </w:rPr>
        <w:t>LAI_MODIS_2X_8D_2020_V1</w:t>
      </w:r>
      <w:r>
        <w:rPr>
          <w:rFonts w:ascii="Times New Roman" w:hAnsi="Times New Roman" w:eastAsia="宋体"/>
        </w:rPr>
        <w:t>进行分析，代表不同规模和维度的内部压缩产品。每个标准NetCDF分别以原始</w:t>
      </w:r>
      <w:r>
        <w:rPr>
          <w:rFonts w:ascii="Consolas" w:hAnsi="Consolas" w:eastAsia="等线"/>
        </w:rPr>
        <w:t>.nc</w:t>
      </w:r>
      <w:r>
        <w:rPr>
          <w:rFonts w:ascii="Times New Roman" w:hAnsi="Times New Roman" w:eastAsia="宋体"/>
        </w:rPr>
        <w:t>和包含同一文件的</w:t>
      </w:r>
      <w:r>
        <w:rPr>
          <w:rFonts w:ascii="Consolas" w:hAnsi="Consolas" w:eastAsia="等线"/>
        </w:rPr>
        <w:t>tar.gz</w:t>
      </w:r>
      <w:r>
        <w:rPr>
          <w:rFonts w:ascii="Times New Roman" w:hAnsi="Times New Roman" w:eastAsia="宋体"/>
        </w:rPr>
        <w:t>分发，对照归档采用gzip级别6。两种形式解包后的NetCDF具有相同SHA-256，据此量化省去外层打包与解包带来的时间和临时空间收益。</w:t>
      </w:r>
    </w:p>
    <w:p>
      <w:r>
        <w:rPr>
          <w:rFonts w:ascii="Times New Roman" w:hAnsi="Times New Roman" w:eastAsia="宋体"/>
        </w:rPr>
        <w:t>性能分析基于回环HTTP服务，按随机顺序重复测量传输字节数、打包与解包时间、从请求开始到首次读取NetCDF值的端到端时间，以及下载文件与解包文件并存时的逻辑临时占用。两个独立环境使用一致的脚本和输入文件，时间指标以中位数、四分位距和95% Bootstrap置信区间表示。</w:t>
      </w:r>
    </w:p>
    <w:p>
      <w:pPr>
        <w:pStyle w:val="Heading2"/>
      </w:pPr>
      <w:r>
        <w:rPr>
          <w:rFonts w:ascii="Times New Roman" w:hAnsi="Times New Roman" w:eastAsia="宋体"/>
        </w:rPr>
        <w:t>3.3 多镜像可靠性与真实镜像访问</w:t>
      </w:r>
    </w:p>
    <w:p>
      <w:r>
        <w:rPr>
          <w:rFonts w:ascii="Times New Roman" w:hAnsi="Times New Roman" w:eastAsia="宋体"/>
        </w:rPr>
        <w:t>数据目录生命周期涵盖首次建立、版本更新、目录同步、产品获取、状态查询和历史数据整理。代表性目录包含不同版本的</w:t>
      </w:r>
      <w:r>
        <w:rPr>
          <w:rFonts w:ascii="Consolas" w:hAnsi="Consolas" w:eastAsia="等线"/>
        </w:rPr>
        <w:t>Artifacts.yaml</w:t>
      </w:r>
      <w:r>
        <w:rPr>
          <w:rFonts w:ascii="Times New Roman" w:hAnsi="Times New Roman" w:eastAsia="宋体"/>
        </w:rPr>
        <w:t>、多个NetCDF产品和两个镜像端点，并依次调用</w:t>
      </w:r>
      <w:r>
        <w:rPr>
          <w:rFonts w:ascii="Consolas" w:hAnsi="Consolas" w:eastAsia="等线"/>
        </w:rPr>
        <w:t>update_database!</w:t>
      </w:r>
      <w:r>
        <w:rPr>
          <w:rFonts w:ascii="Times New Roman" w:hAnsi="Times New Roman" w:eastAsia="宋体"/>
        </w:rPr>
        <w:t>、</w:t>
      </w:r>
      <w:r>
        <w:rPr>
          <w:rFonts w:ascii="Consolas" w:hAnsi="Consolas" w:eastAsia="等线"/>
        </w:rPr>
        <w:t>download_dataset!</w:t>
      </w:r>
      <w:r>
        <w:rPr>
          <w:rFonts w:ascii="Times New Roman" w:hAnsi="Times New Roman" w:eastAsia="宋体"/>
        </w:rPr>
        <w:t>、</w:t>
      </w:r>
      <w:r>
        <w:rPr>
          <w:rFonts w:ascii="Consolas" w:hAnsi="Consolas" w:eastAsia="等线"/>
        </w:rPr>
        <w:t>sync_database!</w:t>
      </w:r>
      <w:r>
        <w:rPr>
          <w:rFonts w:ascii="Times New Roman" w:hAnsi="Times New Roman" w:eastAsia="宋体"/>
        </w:rPr>
        <w:t>、</w:t>
      </w:r>
      <w:r>
        <w:rPr>
          <w:rFonts w:ascii="Consolas" w:hAnsi="Consolas" w:eastAsia="等线"/>
        </w:rPr>
        <w:t>clean_database!</w:t>
      </w:r>
      <w:r>
        <w:rPr>
          <w:rFonts w:ascii="Times New Roman" w:hAnsi="Times New Roman" w:eastAsia="宋体"/>
        </w:rPr>
        <w:t>及目录信息接口。cache与public目录分别承担事务缓存和正式产品保存，</w:t>
      </w:r>
      <w:r>
        <w:rPr>
          <w:rFonts w:ascii="Consolas" w:hAnsi="Consolas" w:eastAsia="等线"/>
        </w:rPr>
        <w:t>read_dataset</w:t>
      </w:r>
      <w:r>
        <w:rPr>
          <w:rFonts w:ascii="Times New Roman" w:hAnsi="Times New Roman" w:eastAsia="宋体"/>
        </w:rPr>
        <w:t>的整场、周期和站点读取共同连接目录与数据使用环节。</w:t>
      </w:r>
    </w:p>
    <w:p>
      <w:r>
        <w:rPr>
          <w:rFonts w:ascii="Times New Roman" w:hAnsi="Times New Roman" w:eastAsia="宋体"/>
        </w:rPr>
        <w:t>各状态转换通过重复调用考察幂等行为，上一有效版本和事务缓存共同承接目录与下载状态。</w:t>
      </w:r>
      <w:r>
        <w:rPr>
          <w:rFonts w:ascii="Consolas" w:hAnsi="Consolas" w:eastAsia="等线"/>
        </w:rPr>
        <w:t>sync_database!</w:t>
      </w:r>
      <w:r>
        <w:rPr>
          <w:rFonts w:ascii="Times New Roman" w:hAnsi="Times New Roman" w:eastAsia="宋体"/>
        </w:rPr>
        <w:t>使用确定性小型目录参考数据呈现全库遍历逻辑。</w:t>
      </w:r>
    </w:p>
    <w:p>
      <w:r>
        <w:rPr>
          <w:rFonts w:ascii="Times New Roman" w:hAnsi="Times New Roman" w:eastAsia="宋体"/>
        </w:rPr>
        <w:t>多镜像可靠性分析在两个独立环境中构建内容一致、访问状态可配置的镜像集合，通过延迟分数组织候选顺序，并组合响应延迟、访问中断、内容差异和传输完整性等条件。各类镜像状态重复5次，记录候选选择、镜像遍历、正式文件状态及SHA-256，据此刻画事务式获取在镜像切换过程中的稳定性。校园网FTP与Zenodo访问进一步呈现机构镜像和公共镜像的互补分发特征与内容一致性。</w:t>
      </w:r>
    </w:p>
    <w:p>
      <w:r>
        <w:rPr>
          <w:rFonts w:ascii="Times New Roman" w:hAnsi="Times New Roman" w:eastAsia="宋体"/>
        </w:rPr>
        <w:t>镜像访问实验选取4个同时具有FTP和Zenodo地址且已登记</w:t>
      </w:r>
      <w:r>
        <w:rPr>
          <w:rFonts w:ascii="Consolas" w:hAnsi="Consolas" w:eastAsia="等线"/>
        </w:rPr>
        <w:t>SIZE/SHA256</w:t>
      </w:r>
      <w:r>
        <w:rPr>
          <w:rFonts w:ascii="Times New Roman" w:hAnsi="Times New Roman" w:eastAsia="宋体"/>
        </w:rPr>
        <w:t>的代表性标签，对各文件—镜像组合开展重复下载，记录候选顺序、传输时间、字节数和SHA-256。公共网络观测刻画Zenodo镜像获取特征；中科大校园网实验对FTP与Zenodo执行同文件只读下载，共形成24次完整性记录。实验数据与环境信息随可复现材料归档。</w:t>
      </w:r>
    </w:p>
    <w:p>
      <w:pPr>
        <w:pStyle w:val="Heading2"/>
      </w:pPr>
      <w:r>
        <w:rPr>
          <w:rFonts w:ascii="Times New Roman" w:hAnsi="Times New Roman" w:eastAsia="宋体"/>
        </w:rPr>
        <w:t>3.4 统一读取与模型就绪应用</w:t>
      </w:r>
    </w:p>
    <w:p>
      <w:r>
        <w:rPr>
          <w:rFonts w:ascii="Times New Roman" w:hAnsi="Times New Roman" w:eastAsia="宋体"/>
        </w:rPr>
        <w:t>模型就绪应用连接</w:t>
      </w:r>
      <w:r>
        <w:rPr>
          <w:rFonts w:ascii="Consolas" w:hAnsi="Consolas" w:eastAsia="等线"/>
        </w:rPr>
        <w:t>read_dataset</w:t>
      </w:r>
      <w:r>
        <w:rPr>
          <w:rFonts w:ascii="Times New Roman" w:hAnsi="Times New Roman" w:eastAsia="宋体"/>
        </w:rPr>
        <w:t>、</w:t>
      </w:r>
      <w:r>
        <w:rPr>
          <w:rFonts w:ascii="Consolas" w:hAnsi="Consolas" w:eastAsia="等线"/>
        </w:rPr>
        <w:t>grid_dict</w:t>
      </w:r>
      <w:r>
        <w:rPr>
          <w:rFonts w:ascii="Times New Roman" w:hAnsi="Times New Roman" w:eastAsia="宋体"/>
        </w:rPr>
        <w:t>、</w:t>
      </w:r>
      <w:r>
        <w:rPr>
          <w:rFonts w:ascii="Consolas" w:hAnsi="Consolas" w:eastAsia="等线"/>
        </w:rPr>
        <w:t>grid_weather</w:t>
      </w:r>
      <w:r>
        <w:rPr>
          <w:rFonts w:ascii="Times New Roman" w:hAnsi="Times New Roman" w:eastAsia="宋体"/>
        </w:rPr>
        <w:t>与Emerald初始化。确定性参考数据用于核对字段名、形状、类型、时间索引和NaN处理；陆面案例采用2020年</w:t>
      </w:r>
      <w:r>
        <w:rPr>
          <w:rFonts w:ascii="Consolas" w:hAnsi="Consolas" w:eastAsia="等线"/>
        </w:rPr>
        <w:t>gm2</w:t>
      </w:r>
      <w:r>
        <w:rPr>
          <w:rFonts w:ascii="Times New Roman" w:hAnsi="Times New Roman" w:eastAsia="宋体"/>
        </w:rPr>
        <w:t>产品，在US-NR1附近植被格点和典型非植被格点呈现不同陆面状态下的模型入口。</w:t>
      </w:r>
    </w:p>
    <w:p>
      <w:r>
        <w:rPr>
          <w:rFonts w:ascii="Consolas" w:hAnsi="Consolas" w:eastAsia="等线"/>
        </w:rPr>
        <w:t>grid_dict</w:t>
      </w:r>
      <w:r>
        <w:rPr>
          <w:rFonts w:ascii="Times New Roman" w:hAnsi="Times New Roman" w:eastAsia="宋体"/>
        </w:rPr>
        <w:t>和</w:t>
      </w:r>
      <w:r>
        <w:rPr>
          <w:rFonts w:ascii="Consolas" w:hAnsi="Consolas" w:eastAsia="等线"/>
        </w:rPr>
        <w:t>grid_weather</w:t>
      </w:r>
      <w:r>
        <w:rPr>
          <w:rFonts w:ascii="Times New Roman" w:hAnsi="Times New Roman" w:eastAsia="宋体"/>
        </w:rPr>
        <w:t>输出可直接用于同一格点的Emerald初始化与首个气象时间步计算。字段映射、单位和维度在标准数据与模型接口之间保持一致，使GriddingMachine产品能够进入模型参数组织和时间步计算。</w:t>
      </w:r>
    </w:p>
    <w:p>
      <w:pPr>
        <w:pStyle w:val="Heading2"/>
      </w:pPr>
      <w:r>
        <w:rPr>
          <w:rFonts w:ascii="Times New Roman" w:hAnsi="Times New Roman" w:eastAsia="宋体"/>
        </w:rPr>
        <w:t>3.5 多操作系统环境运行与持续集成</w:t>
      </w:r>
    </w:p>
    <w:p>
      <w:r>
        <w:rPr>
          <w:rFonts w:ascii="Times New Roman" w:hAnsi="Times New Roman" w:eastAsia="宋体"/>
        </w:rPr>
        <w:t>跨操作系统运行覆盖Windows、macOS和Linux，采用本地运行与持续集成相结合的方式，贯通标准产品生产、ELEV/LAI分发、多镜像获取、Emerald最小模型流程和核心软件路径。统一的项目依赖和参考数据使数据结构、数值内容、正式文件状态与临时缓存行为保持一致。</w:t>
      </w:r>
    </w:p>
    <w:p>
      <w:r>
        <w:rPr>
          <w:rFonts w:ascii="Times New Roman" w:hAnsi="Times New Roman" w:eastAsia="宋体"/>
        </w:rPr>
        <w:t>持续集成使用确定性NetCDF参考数据维护代码路径、文件状态和内容完整性，本地环境进一步覆盖ELEV/LAI效率、FTP—Zenodo镜像访问和</w:t>
      </w:r>
      <w:r>
        <w:rPr>
          <w:rFonts w:ascii="Consolas" w:hAnsi="Consolas" w:eastAsia="等线"/>
        </w:rPr>
        <w:t>gm2</w:t>
      </w:r>
      <w:r>
        <w:rPr>
          <w:rFonts w:ascii="Times New Roman" w:hAnsi="Times New Roman" w:eastAsia="宋体"/>
        </w:rPr>
        <w:t>陆面案例，共同形成从自动维护到数据应用的分层运行体系。</w:t>
      </w:r>
    </w:p>
    <w:p>
      <w:pPr>
        <w:pStyle w:val="Heading1"/>
      </w:pPr>
      <w:r>
        <w:rPr>
          <w:rFonts w:ascii="Times New Roman" w:hAnsi="Times New Roman" w:eastAsia="宋体"/>
        </w:rPr>
        <w:t>4 结果与性能分析</w:t>
      </w:r>
    </w:p>
    <w:p>
      <w:r>
        <w:rPr>
          <w:rFonts w:ascii="Times New Roman" w:hAnsi="Times New Roman" w:eastAsia="宋体"/>
        </w:rPr>
        <w:t>新版GriddingMachine实现了从源数据配置到标准产品生成、从多镜像发布到可信获取、再到模型参数组织的完整链路。共享生产契约提升异构数据处理的一致性，独立目录和直接NetCDF简化产品维护与访问，事务式缓存增强多镜像获取的稳定性，统一接口进一步将标准数据连接到Emerald模型。主要功能与应用表现汇总于表4。</w:t>
      </w:r>
    </w:p>
    <w:p>
      <w:pPr>
        <w:ind w:firstLine="0"/>
      </w:pPr>
      <w:r>
        <w:rPr>
          <w:rFonts w:ascii="Times New Roman" w:hAnsi="Times New Roman" w:eastAsia="宋体"/>
          <w:b/>
        </w:rPr>
        <w:t>表4 新版GriddingMachine的主要改进与应用表现</w:t>
      </w:r>
    </w:p>
    <w:tbl>
      <w:tblPr>
        <w:tblStyle w:val="TableGrid"/>
        <w:tblW w:type="auto" w:w="0"/>
        <w:tblLook w:firstColumn="1" w:firstRow="1" w:lastColumn="0" w:lastRow="0" w:noHBand="0" w:noVBand="1" w:val="04A0"/>
      </w:tblPr>
      <w:tblGrid>
        <w:gridCol w:w="3060"/>
        <w:gridCol w:w="3060"/>
        <w:gridCol w:w="3060"/>
      </w:tblGrid>
      <w:tr>
        <w:tc>
          <w:tcPr>
            <w:tcW w:type="dxa" w:w="3060"/>
            <w:shd w:fill="D9EAF7"/>
          </w:tcPr>
          <w:p>
            <w:r>
              <w:rPr>
                <w:b/>
                <w:sz w:val="18"/>
              </w:rPr>
            </w:r>
            <w:r>
              <w:rPr>
                <w:rFonts w:ascii="Times New Roman" w:hAnsi="Times New Roman" w:eastAsia="宋体"/>
                <w:b/>
                <w:sz w:val="18"/>
              </w:rPr>
              <w:t>功能模块</w:t>
            </w:r>
          </w:p>
        </w:tc>
        <w:tc>
          <w:tcPr>
            <w:tcW w:type="dxa" w:w="3060"/>
            <w:shd w:fill="D9EAF7"/>
          </w:tcPr>
          <w:p>
            <w:r>
              <w:rPr>
                <w:b/>
                <w:sz w:val="18"/>
              </w:rPr>
            </w:r>
            <w:r>
              <w:rPr>
                <w:rFonts w:ascii="Times New Roman" w:hAnsi="Times New Roman" w:eastAsia="宋体"/>
                <w:b/>
                <w:sz w:val="18"/>
              </w:rPr>
              <w:t>核心机制</w:t>
            </w:r>
          </w:p>
        </w:tc>
        <w:tc>
          <w:tcPr>
            <w:tcW w:type="dxa" w:w="3060"/>
            <w:shd w:fill="D9EAF7"/>
          </w:tcPr>
          <w:p>
            <w:r>
              <w:rPr>
                <w:b/>
                <w:sz w:val="18"/>
              </w:rPr>
            </w:r>
            <w:r>
              <w:rPr>
                <w:rFonts w:ascii="Times New Roman" w:hAnsi="Times New Roman" w:eastAsia="宋体"/>
                <w:b/>
                <w:sz w:val="18"/>
              </w:rPr>
              <w:t>应用成果</w:t>
            </w:r>
          </w:p>
        </w:tc>
      </w:tr>
      <w:tr>
        <w:tc>
          <w:tcPr>
            <w:tcW w:type="dxa" w:w="3060"/>
          </w:tcPr>
          <w:p>
            <w:r>
              <w:rPr>
                <w:sz w:val="18"/>
              </w:rPr>
            </w:r>
            <w:r>
              <w:rPr>
                <w:rFonts w:ascii="Times New Roman" w:hAnsi="Times New Roman" w:eastAsia="宋体"/>
                <w:sz w:val="18"/>
              </w:rPr>
              <w:t>标准产品生产</w:t>
            </w:r>
          </w:p>
        </w:tc>
        <w:tc>
          <w:tcPr>
            <w:tcW w:type="dxa" w:w="3060"/>
          </w:tcPr>
          <w:p>
            <w:r>
              <w:rPr>
                <w:sz w:val="18"/>
              </w:rPr>
            </w:r>
            <w:r>
              <w:rPr>
                <w:rFonts w:ascii="Times New Roman" w:hAnsi="Times New Roman" w:eastAsia="宋体"/>
                <w:sz w:val="18"/>
              </w:rPr>
              <w:t>共享YAML schema、显式维度映射和Gapfill</w:t>
            </w:r>
          </w:p>
        </w:tc>
        <w:tc>
          <w:tcPr>
            <w:tcW w:type="dxa" w:w="3060"/>
          </w:tcPr>
          <w:p>
            <w:r>
              <w:rPr>
                <w:sz w:val="18"/>
              </w:rPr>
            </w:r>
            <w:r>
              <w:rPr>
                <w:rFonts w:ascii="Times New Roman" w:hAnsi="Times New Roman" w:eastAsia="宋体"/>
                <w:sz w:val="18"/>
              </w:rPr>
              <w:t>OISST源数据与独立参考逐点一致，二维和三维产品实现稳定生成</w:t>
            </w:r>
          </w:p>
        </w:tc>
      </w:tr>
      <w:tr>
        <w:tc>
          <w:tcPr>
            <w:tcW w:type="dxa" w:w="3060"/>
          </w:tcPr>
          <w:p>
            <w:r>
              <w:rPr>
                <w:sz w:val="18"/>
              </w:rPr>
            </w:r>
            <w:r>
              <w:rPr>
                <w:rFonts w:ascii="Times New Roman" w:hAnsi="Times New Roman" w:eastAsia="宋体"/>
                <w:sz w:val="18"/>
              </w:rPr>
              <w:t>数据制品</w:t>
            </w:r>
          </w:p>
        </w:tc>
        <w:tc>
          <w:tcPr>
            <w:tcW w:type="dxa" w:w="3060"/>
          </w:tcPr>
          <w:p>
            <w:r>
              <w:rPr>
                <w:sz w:val="18"/>
              </w:rPr>
            </w:r>
            <w:r>
              <w:rPr>
                <w:rFonts w:ascii="Times New Roman" w:hAnsi="Times New Roman" w:eastAsia="宋体"/>
                <w:sz w:val="18"/>
              </w:rPr>
              <w:t>直接NetCDF分发</w:t>
            </w:r>
          </w:p>
        </w:tc>
        <w:tc>
          <w:tcPr>
            <w:tcW w:type="dxa" w:w="3060"/>
          </w:tcPr>
          <w:p>
            <w:r>
              <w:rPr>
                <w:sz w:val="18"/>
              </w:rPr>
            </w:r>
            <w:r>
              <w:rPr>
                <w:rFonts w:ascii="Times New Roman" w:hAnsi="Times New Roman" w:eastAsia="宋体"/>
                <w:sz w:val="18"/>
              </w:rPr>
              <w:t>缓存预热后的端到端中位时间在两个独立运行环境中分别降低48.3%～82.9%和53.6%～69.2%</w:t>
            </w:r>
          </w:p>
        </w:tc>
      </w:tr>
      <w:tr>
        <w:tc>
          <w:tcPr>
            <w:tcW w:type="dxa" w:w="3060"/>
          </w:tcPr>
          <w:p>
            <w:r>
              <w:rPr>
                <w:sz w:val="18"/>
              </w:rPr>
            </w:r>
            <w:r>
              <w:rPr>
                <w:rFonts w:ascii="Times New Roman" w:hAnsi="Times New Roman" w:eastAsia="宋体"/>
                <w:sz w:val="18"/>
              </w:rPr>
              <w:t>目录与镜像</w:t>
            </w:r>
          </w:p>
        </w:tc>
        <w:tc>
          <w:tcPr>
            <w:tcW w:type="dxa" w:w="3060"/>
          </w:tcPr>
          <w:p>
            <w:r>
              <w:rPr>
                <w:sz w:val="18"/>
              </w:rPr>
            </w:r>
            <w:r>
              <w:rPr>
                <w:rFonts w:ascii="Times New Roman" w:hAnsi="Times New Roman" w:eastAsia="宋体"/>
                <w:sz w:val="18"/>
              </w:rPr>
              <w:t>独立目录、延迟辅助排序、多URL回退和事务缓存</w:t>
            </w:r>
          </w:p>
        </w:tc>
        <w:tc>
          <w:tcPr>
            <w:tcW w:type="dxa" w:w="3060"/>
          </w:tcPr>
          <w:p>
            <w:r>
              <w:rPr>
                <w:sz w:val="18"/>
              </w:rPr>
            </w:r>
            <w:r>
              <w:rPr>
                <w:rFonts w:ascii="Times New Roman" w:hAnsi="Times New Roman" w:eastAsia="宋体"/>
                <w:sz w:val="18"/>
              </w:rPr>
              <w:t>校园网FTP与Zenodo完成24次同文件下载，SHA-256摘要与目录登记值一致</w:t>
            </w:r>
          </w:p>
        </w:tc>
      </w:tr>
      <w:tr>
        <w:tc>
          <w:tcPr>
            <w:tcW w:type="dxa" w:w="3060"/>
          </w:tcPr>
          <w:p>
            <w:r>
              <w:rPr>
                <w:sz w:val="18"/>
              </w:rPr>
            </w:r>
            <w:r>
              <w:rPr>
                <w:rFonts w:ascii="Times New Roman" w:hAnsi="Times New Roman" w:eastAsia="宋体"/>
                <w:sz w:val="18"/>
              </w:rPr>
              <w:t>模型就绪访问</w:t>
            </w:r>
          </w:p>
        </w:tc>
        <w:tc>
          <w:tcPr>
            <w:tcW w:type="dxa" w:w="3060"/>
          </w:tcPr>
          <w:p>
            <w:r>
              <w:rPr>
                <w:sz w:val="18"/>
              </w:rPr>
            </w:r>
            <w:r>
              <w:rPr>
                <w:rFonts w:ascii="Times New Roman" w:hAnsi="Times New Roman" w:eastAsia="宋体"/>
                <w:sz w:val="18"/>
              </w:rPr>
              <w:t>标签驱动的数据访问、陆面参数融合和气象驱动组织</w:t>
            </w:r>
          </w:p>
        </w:tc>
        <w:tc>
          <w:tcPr>
            <w:tcW w:type="dxa" w:w="3060"/>
          </w:tcPr>
          <w:p>
            <w:r>
              <w:rPr>
                <w:sz w:val="18"/>
              </w:rPr>
            </w:r>
            <w:r>
              <w:rPr>
                <w:rFonts w:ascii="Times New Roman" w:hAnsi="Times New Roman" w:eastAsia="宋体"/>
                <w:sz w:val="18"/>
              </w:rPr>
              <w:t>14类</w:t>
            </w:r>
            <w:r>
              <w:rPr>
                <w:rFonts w:ascii="Consolas" w:hAnsi="Consolas" w:eastAsia="等线"/>
                <w:sz w:val="18"/>
              </w:rPr>
              <w:t>gm2</w:t>
            </w:r>
            <w:r>
              <w:rPr>
                <w:rFonts w:ascii="Times New Roman" w:hAnsi="Times New Roman" w:eastAsia="宋体"/>
                <w:sz w:val="18"/>
              </w:rPr>
              <w:t>产品生成US-NR1参数字典并进入Emerald模型流程</w:t>
            </w:r>
          </w:p>
        </w:tc>
      </w:tr>
      <w:tr>
        <w:tc>
          <w:tcPr>
            <w:tcW w:type="dxa" w:w="3060"/>
          </w:tcPr>
          <w:p>
            <w:r>
              <w:rPr>
                <w:sz w:val="18"/>
              </w:rPr>
            </w:r>
            <w:r>
              <w:rPr>
                <w:rFonts w:ascii="Times New Roman" w:hAnsi="Times New Roman" w:eastAsia="宋体"/>
                <w:sz w:val="18"/>
              </w:rPr>
              <w:t>跨操作系统运行</w:t>
            </w:r>
          </w:p>
        </w:tc>
        <w:tc>
          <w:tcPr>
            <w:tcW w:type="dxa" w:w="3060"/>
          </w:tcPr>
          <w:p>
            <w:r>
              <w:rPr>
                <w:sz w:val="18"/>
              </w:rPr>
            </w:r>
            <w:r>
              <w:rPr>
                <w:rFonts w:ascii="Times New Roman" w:hAnsi="Times New Roman" w:eastAsia="宋体"/>
                <w:sz w:val="18"/>
              </w:rPr>
              <w:t>版本化依赖与持续集成</w:t>
            </w:r>
          </w:p>
        </w:tc>
        <w:tc>
          <w:tcPr>
            <w:tcW w:type="dxa" w:w="3060"/>
          </w:tcPr>
          <w:p>
            <w:r>
              <w:rPr>
                <w:sz w:val="18"/>
              </w:rPr>
            </w:r>
            <w:r>
              <w:rPr>
                <w:rFonts w:ascii="Times New Roman" w:hAnsi="Times New Roman" w:eastAsia="宋体"/>
                <w:sz w:val="18"/>
              </w:rPr>
              <w:t>多个操作系统环境保持一致的软件路径、数据结构与模型接口</w:t>
            </w:r>
          </w:p>
        </w:tc>
      </w:tr>
    </w:tbl>
    <w:p>
      <w:pPr>
        <w:ind w:firstLine="0"/>
      </w:pPr>
      <w:r>
        <w:rPr>
          <w:rFonts w:ascii="Times New Roman" w:hAnsi="Times New Roman" w:eastAsia="宋体"/>
          <w:b/>
        </w:rPr>
        <w:t>Table 4 Major advances and application performance of the updated GriddingMachine.</w:t>
      </w:r>
      <w:r>
        <w:rPr>
          <w:rFonts w:ascii="Times New Roman" w:hAnsi="Times New Roman" w:eastAsia="宋体"/>
        </w:rPr>
        <w:t xml:space="preserve"> The table summarizes standardized production, direct NetCDF distribution, multi-mirror acquisition, model-ready access, and cross-platform operation.</w:t>
      </w:r>
    </w:p>
    <w:p>
      <w:pPr>
        <w:pStyle w:val="Heading2"/>
      </w:pPr>
      <w:r>
        <w:rPr>
          <w:rFonts w:ascii="Times New Roman" w:hAnsi="Times New Roman" w:eastAsia="宋体"/>
        </w:rPr>
        <w:t>4.1 标准产品生产与OISST结果</w:t>
      </w:r>
    </w:p>
    <w:p>
      <w:r>
        <w:rPr>
          <w:rFonts w:ascii="Times New Roman" w:hAnsi="Times New Roman" w:eastAsia="宋体"/>
        </w:rPr>
        <w:t>共享YAML schema组织二维和三维数据的源维度重排、坐标变换、线性缩放、有效范围过滤与Gapfill，并将处理结果保存为统一的</w:t>
      </w:r>
      <w:r>
        <w:rPr>
          <w:rFonts w:ascii="Consolas" w:hAnsi="Consolas" w:eastAsia="等线"/>
        </w:rPr>
        <w:t>data/std</w:t>
      </w:r>
      <w:r>
        <w:rPr>
          <w:rFonts w:ascii="Times New Roman" w:hAnsi="Times New Roman" w:eastAsia="宋体"/>
        </w:rPr>
        <w:t>结构。配置构建器、生产流水线和目录生成器使用同一字段约定，使标准产品从源数据处理直接进入</w:t>
      </w:r>
      <w:r>
        <w:rPr>
          <w:rFonts w:ascii="Consolas" w:hAnsi="Consolas" w:eastAsia="等线"/>
        </w:rPr>
        <w:t>Artifacts.yaml</w:t>
      </w:r>
      <w:r>
        <w:rPr>
          <w:rFonts w:ascii="Times New Roman" w:hAnsi="Times New Roman" w:eastAsia="宋体"/>
        </w:rPr>
        <w:t>登记；目录条目同步生成</w:t>
      </w:r>
      <w:r>
        <w:rPr>
          <w:rFonts w:ascii="Consolas" w:hAnsi="Consolas" w:eastAsia="等线"/>
        </w:rPr>
        <w:t>SIZE</w:t>
      </w:r>
      <w:r>
        <w:rPr>
          <w:rFonts w:ascii="Times New Roman" w:hAnsi="Times New Roman" w:eastAsia="宋体"/>
        </w:rPr>
        <w:t>与SHA-256，为多镜像发布提供完整性信息。</w:t>
      </w:r>
    </w:p>
    <w:p>
      <w:r>
        <w:rPr>
          <w:rFonts w:ascii="Times New Roman" w:hAnsi="Times New Roman" w:eastAsia="宋体"/>
        </w:rPr>
        <w:t>OISST案例展示了共享生产契约对异构地学源数据的组织能力。原始</w:t>
      </w:r>
      <w:r>
        <w:rPr>
          <w:rFonts w:ascii="Consolas" w:hAnsi="Consolas" w:eastAsia="等线"/>
        </w:rPr>
        <w:t>sst</w:t>
      </w:r>
      <w:r>
        <w:rPr>
          <w:rFonts w:ascii="Times New Roman" w:hAnsi="Times New Roman" w:eastAsia="宋体"/>
        </w:rPr>
        <w:t>变量在Julia读取路径中呈现为1440×720×1×1的</w:t>
      </w:r>
      <w:r>
        <w:rPr>
          <w:rFonts w:ascii="Consolas" w:hAnsi="Consolas" w:eastAsia="等线"/>
        </w:rPr>
        <w:t>lon×lat×zlev×time</w:t>
      </w:r>
      <w:r>
        <w:rPr>
          <w:rFonts w:ascii="Times New Roman" w:hAnsi="Times New Roman" w:eastAsia="宋体"/>
        </w:rPr>
        <w:t>数组，经单例层提取、Int16物理值解码和经度重排后形成1440×720标准产品。输出经度由−179.875°递增至179.875°，纬度由−89.875°递增至89.875°；691 150个有效格点和345 650个缺失格点与独立参考逐点一致，海表温度范围为−1.80～32.39 ℃，全场平均值为14.013 ℃，最大绝对差为0。</w:t>
      </w:r>
    </w:p>
    <w:p>
      <w:r>
        <w:rPr>
          <w:rFonts w:ascii="Times New Roman" w:hAnsi="Times New Roman" w:eastAsia="宋体"/>
        </w:rPr>
        <w:t>标准产品连续生成3次，科学数组、坐标和文件SHA-256均保持一致。生成文件为997 006字节，目录条目自动登记相同的</w:t>
      </w:r>
      <w:r>
        <w:rPr>
          <w:rFonts w:ascii="Consolas" w:hAnsi="Consolas" w:eastAsia="等线"/>
        </w:rPr>
        <w:t>SIZE</w:t>
      </w:r>
      <w:r>
        <w:rPr>
          <w:rFonts w:ascii="Times New Roman" w:hAnsi="Times New Roman" w:eastAsia="宋体"/>
        </w:rPr>
        <w:t>和SHA-256；经回环HTTP事务式下载后，正式文件摘要与目录完全一致，缓存目录中的</w:t>
      </w:r>
      <w:r>
        <w:rPr>
          <w:rFonts w:ascii="Consolas" w:hAnsi="Consolas" w:eastAsia="等线"/>
        </w:rPr>
        <w:t>.part</w:t>
      </w:r>
      <w:r>
        <w:rPr>
          <w:rFonts w:ascii="Times New Roman" w:hAnsi="Times New Roman" w:eastAsia="宋体"/>
        </w:rPr>
        <w:t>文件回收率为100%。</w:t>
      </w:r>
      <w:r>
        <w:rPr>
          <w:rFonts w:ascii="Consolas" w:hAnsi="Consolas" w:eastAsia="等线"/>
        </w:rPr>
        <w:t>read_dataset</w:t>
      </w:r>
      <w:r>
        <w:rPr>
          <w:rFonts w:ascii="Times New Roman" w:hAnsi="Times New Roman" w:eastAsia="宋体"/>
        </w:rPr>
        <w:t>读取的整场数组与独立参考逐点一致，形成从源产品、共享YAML生产、完整性目录到统一读取的端到端数据链路。</w:t>
      </w:r>
    </w:p>
    <w:p>
      <w:pPr>
        <w:jc w:val="center"/>
      </w:pPr>
      <w:r>
        <w:drawing>
          <wp:inline xmlns:a="http://schemas.openxmlformats.org/drawingml/2006/main" xmlns:pic="http://schemas.openxmlformats.org/drawingml/2006/picture">
            <wp:extent cx="5400000" cy="3887147"/>
            <wp:docPr id="2" name="Picture 2"/>
            <wp:cNvGraphicFramePr>
              <a:graphicFrameLocks noChangeAspect="1"/>
            </wp:cNvGraphicFramePr>
            <a:graphic>
              <a:graphicData uri="http://schemas.openxmlformats.org/drawingml/2006/picture">
                <pic:pic>
                  <pic:nvPicPr>
                    <pic:cNvPr id="0" name="图2_OISST真实产品标准化结果.png"/>
                    <pic:cNvPicPr/>
                  </pic:nvPicPr>
                  <pic:blipFill>
                    <a:blip r:embed="rId10"/>
                    <a:stretch>
                      <a:fillRect/>
                    </a:stretch>
                  </pic:blipFill>
                  <pic:spPr>
                    <a:xfrm>
                      <a:off x="0" y="0"/>
                      <a:ext cx="5400000" cy="3887147"/>
                    </a:xfrm>
                    <a:prstGeom prst="rect"/>
                  </pic:spPr>
                </pic:pic>
              </a:graphicData>
            </a:graphic>
          </wp:inline>
        </w:drawing>
      </w:r>
    </w:p>
    <w:p>
      <w:pPr>
        <w:ind w:firstLine="0"/>
      </w:pPr>
      <w:r>
        <w:rPr>
          <w:rFonts w:ascii="Times New Roman" w:hAnsi="Times New Roman" w:eastAsia="宋体"/>
          <w:b/>
        </w:rPr>
        <w:t>图2 OISST V2.1产品标准化结果</w:t>
      </w:r>
      <w:r>
        <w:rPr>
          <w:rFonts w:ascii="Times New Roman" w:hAnsi="Times New Roman" w:eastAsia="宋体"/>
        </w:rPr>
        <w:t xml:space="preserve"> （a）2022年2月25日全球海表温度标准产品；（b）有效格点纬向平均海表温度；（c）各纬度有效格点比例。标准产品为1440×720规则网格，691 150个有效格点与独立参考逐点一致。</w:t>
      </w:r>
    </w:p>
    <w:p>
      <w:r>
        <w:rPr>
          <w:rFonts w:ascii="Times New Roman" w:hAnsi="Times New Roman" w:eastAsia="宋体"/>
          <w:b/>
        </w:rPr>
        <w:t>Figure 2 Standardization results for the OISST V2.1 product.</w:t>
      </w:r>
      <w:r>
        <w:rPr>
          <w:rFonts w:ascii="Times New Roman" w:hAnsi="Times New Roman" w:eastAsia="宋体"/>
        </w:rPr>
        <w:t xml:space="preserve"> (a) Global standardized sea-surface temperature on 25 February 2022; (b) zonal mean sea-surface temperature over finite grid cells; and (c) fraction of finite grid cells by latitude. The 1440 × 720 product contains 691,150 finite cells that agree point by point with the independently decoded reference.</w:t>
      </w:r>
    </w:p>
    <w:p>
      <w:r>
        <w:rPr>
          <w:rFonts w:ascii="Times New Roman" w:hAnsi="Times New Roman" w:eastAsia="宋体"/>
        </w:rPr>
        <w:t>表3所列31组处理实例覆盖维度、坐标、数值、Gapfill、配置、输出和空间方向控制。各操作系统环境获得一致的产品结构和逐点数值结果，正向图与南北反转图得到准确区分，自动质量控制与人工空间检查共同维护标准产品的坐标语义。</w:t>
      </w:r>
    </w:p>
    <w:p>
      <w:r>
        <w:rPr>
          <w:rFonts w:ascii="Times New Roman" w:hAnsi="Times New Roman" w:eastAsia="宋体"/>
        </w:rPr>
        <w:t>数据贡献案例贯通YAML配置、标准产品生成、目录登记和下游读取，生成产品与参考数组逐点一致，目录中的</w:t>
      </w:r>
      <w:r>
        <w:rPr>
          <w:rFonts w:ascii="Consolas" w:hAnsi="Consolas" w:eastAsia="等线"/>
        </w:rPr>
        <w:t>SIZE</w:t>
      </w:r>
      <w:r>
        <w:rPr>
          <w:rFonts w:ascii="Times New Roman" w:hAnsi="Times New Roman" w:eastAsia="宋体"/>
        </w:rPr>
        <w:t>和SHA-256与文件相符。NetcdfIO接口迁移与配置对象复用机制进一步统一文件访问和批量生产行为，使二维/三维输出、坐标变换、数值处理、Gapfill和目录生成由同一工作流连接；完整YAML示例和固定输入路径共同构成可复用的数据贡献模板。</w:t>
      </w:r>
    </w:p>
    <w:p>
      <w:r>
        <w:rPr>
          <w:rFonts w:ascii="Times New Roman" w:hAnsi="Times New Roman" w:eastAsia="宋体"/>
        </w:rPr>
        <w:t>ELEV补充案例使用已通过文件大小和SHA-256校验的</w:t>
      </w:r>
      <w:r>
        <w:rPr>
          <w:rFonts w:ascii="Consolas" w:hAnsi="Consolas" w:eastAsia="等线"/>
        </w:rPr>
        <w:t>ELEV_4X_1Y_V1.nc</w:t>
      </w:r>
      <w:r>
        <w:rPr>
          <w:rFonts w:ascii="Times New Roman" w:hAnsi="Times New Roman" w:eastAsia="宋体"/>
        </w:rPr>
        <w:t>。该文件为1440×720、全域有效，有限值范围为−415.5～5 357.7002 m；GriddingMachine整场读取与NetCDF底层Float32数组逐点一致。使用显式标准维度、</w:t>
      </w:r>
      <w:r>
        <w:rPr>
          <w:rFonts w:ascii="Consolas" w:hAnsi="Consolas" w:eastAsia="等线"/>
        </w:rPr>
        <w:t>KEEP_AS_IS</w:t>
      </w:r>
      <w:r>
        <w:rPr>
          <w:rFonts w:ascii="Times New Roman" w:hAnsi="Times New Roman" w:eastAsia="宋体"/>
        </w:rPr>
        <w:t>和原值保持配置连续处理3次，三次</w:t>
      </w:r>
      <w:r>
        <w:rPr>
          <w:rFonts w:ascii="Consolas" w:hAnsi="Consolas" w:eastAsia="等线"/>
        </w:rPr>
        <w:t>data/lon/lat</w:t>
      </w:r>
      <w:r>
        <w:rPr>
          <w:rFonts w:ascii="Times New Roman" w:hAnsi="Times New Roman" w:eastAsia="宋体"/>
        </w:rPr>
        <w:t>均与输入一致，输出文件SHA-256也彼此相同，表明标准产品经过统一读取和生产流水线后保持科学数组及坐标。</w:t>
      </w:r>
    </w:p>
    <w:p>
      <w:pPr>
        <w:pStyle w:val="Heading2"/>
      </w:pPr>
      <w:r>
        <w:rPr>
          <w:rFonts w:ascii="Times New Roman" w:hAnsi="Times New Roman" w:eastAsia="宋体"/>
        </w:rPr>
        <w:t>4.2 直接NetCDF分发效率</w:t>
      </w:r>
    </w:p>
    <w:p>
      <w:r>
        <w:rPr>
          <w:rFonts w:ascii="Times New Roman" w:hAnsi="Times New Roman" w:eastAsia="宋体"/>
        </w:rPr>
        <w:t>新版采用直接NetCDF作为分发制品。本研究以通过来源MD5与SHA-256校验的</w:t>
      </w:r>
      <w:r>
        <w:rPr>
          <w:rFonts w:ascii="Consolas" w:hAnsi="Consolas" w:eastAsia="等线"/>
        </w:rPr>
        <w:t>ELEV_4X_1Y_V1</w:t>
      </w:r>
      <w:r>
        <w:rPr>
          <w:rFonts w:ascii="Times New Roman" w:hAnsi="Times New Roman" w:eastAsia="宋体"/>
        </w:rPr>
        <w:t>和</w:t>
      </w:r>
      <w:r>
        <w:rPr>
          <w:rFonts w:ascii="Consolas" w:hAnsi="Consolas" w:eastAsia="等线"/>
        </w:rPr>
        <w:t>LAI_MODIS_2X_8D_2020_V1</w:t>
      </w:r>
      <w:r>
        <w:rPr>
          <w:rFonts w:ascii="Times New Roman" w:hAnsi="Times New Roman" w:eastAsia="宋体"/>
        </w:rPr>
        <w:t>评价分发效率，并在相互独立的操作系统环境中采用一致协议。两文件的</w:t>
      </w:r>
      <w:r>
        <w:rPr>
          <w:rFonts w:ascii="Consolas" w:hAnsi="Consolas" w:eastAsia="等线"/>
        </w:rPr>
        <w:t>data</w:t>
      </w:r>
      <w:r>
        <w:rPr>
          <w:rFonts w:ascii="Times New Roman" w:hAnsi="Times New Roman" w:eastAsia="宋体"/>
        </w:rPr>
        <w:t>变量均采用NetCDF内部zlib压缩级别4，对照归档采用gzip压缩级别6。回环HTTP条件下，各“数据×形式”组合经过缓存预热并按随机顺序重复测量，解包后内容均通过SHA-256校验。</w:t>
      </w:r>
    </w:p>
    <w:p>
      <w:r>
        <w:rPr>
          <w:rFonts w:ascii="Times New Roman" w:hAnsi="Times New Roman" w:eastAsia="宋体"/>
        </w:rPr>
        <w:t>直接NetCDF相对外层</w:t>
      </w:r>
      <w:r>
        <w:rPr>
          <w:rFonts w:ascii="Consolas" w:hAnsi="Consolas" w:eastAsia="等线"/>
        </w:rPr>
        <w:t>tar.gz</w:t>
      </w:r>
      <w:r>
        <w:rPr>
          <w:rFonts w:ascii="Times New Roman" w:hAnsi="Times New Roman" w:eastAsia="宋体"/>
        </w:rPr>
        <w:t>的缓存预热后端到端中位时间在两个环境中分别降低48.3%～82.9%和53.6%～69.2%；两个样本的传输字节分别增加6.43%和2.16%。80次SHA-256摘要核验结果一致。对于已经采用NetCDF内部压缩的数据产品，直接分发减少了额外解包时间和逻辑临时占用。置信区间、绝对时间及完整图件保存在实验材料中。</w:t>
      </w:r>
    </w:p>
    <w:p>
      <w:pPr>
        <w:jc w:val="center"/>
      </w:pPr>
      <w:r>
        <w:drawing>
          <wp:inline xmlns:a="http://schemas.openxmlformats.org/drawingml/2006/main" xmlns:pic="http://schemas.openxmlformats.org/drawingml/2006/picture">
            <wp:extent cx="5400000" cy="2756609"/>
            <wp:docPr id="3" name="Picture 3"/>
            <wp:cNvGraphicFramePr>
              <a:graphicFrameLocks noChangeAspect="1"/>
            </wp:cNvGraphicFramePr>
            <a:graphic>
              <a:graphicData uri="http://schemas.openxmlformats.org/drawingml/2006/picture">
                <pic:pic>
                  <pic:nvPicPr>
                    <pic:cNvPr id="0" name="图3_直接NetCDF分发效率.png"/>
                    <pic:cNvPicPr/>
                  </pic:nvPicPr>
                  <pic:blipFill>
                    <a:blip r:embed="rId11"/>
                    <a:stretch>
                      <a:fillRect/>
                    </a:stretch>
                  </pic:blipFill>
                  <pic:spPr>
                    <a:xfrm>
                      <a:off x="0" y="0"/>
                      <a:ext cx="5400000" cy="2756609"/>
                    </a:xfrm>
                    <a:prstGeom prst="rect"/>
                  </pic:spPr>
                </pic:pic>
              </a:graphicData>
            </a:graphic>
          </wp:inline>
        </w:drawing>
      </w:r>
    </w:p>
    <w:p>
      <w:pPr>
        <w:ind w:firstLine="0"/>
      </w:pPr>
      <w:r>
        <w:rPr>
          <w:rFonts w:ascii="Times New Roman" w:hAnsi="Times New Roman" w:eastAsia="宋体"/>
          <w:b/>
        </w:rPr>
        <w:t>图3 直接NetCDF与外层tar.gz分发的端到端时间比较</w:t>
      </w:r>
      <w:r>
        <w:rPr>
          <w:rFonts w:ascii="Times New Roman" w:hAnsi="Times New Roman" w:eastAsia="宋体"/>
        </w:rPr>
        <w:t xml:space="preserve"> （a）二维高程产品ELEV；（b）三维叶面积指数产品LAI。柱高为缓存预热后端到端时间中位数，误差线为95% Bootstrap置信区间；独立环境A和B采用相同输入文件与测量协议。柱上百分比表示直接NetCDF相对于外层</w:t>
      </w:r>
      <w:r>
        <w:rPr>
          <w:rFonts w:ascii="Consolas" w:hAnsi="Consolas" w:eastAsia="等线"/>
        </w:rPr>
        <w:t>tar.gz</w:t>
      </w:r>
      <w:r>
        <w:rPr>
          <w:rFonts w:ascii="Times New Roman" w:hAnsi="Times New Roman" w:eastAsia="宋体"/>
        </w:rPr>
        <w:t>归档的中位时间降幅。</w:t>
      </w:r>
    </w:p>
    <w:p>
      <w:pPr>
        <w:ind w:firstLine="0"/>
      </w:pPr>
      <w:r>
        <w:rPr>
          <w:rFonts w:ascii="Times New Roman" w:hAnsi="Times New Roman" w:eastAsia="宋体"/>
          <w:b/>
        </w:rPr>
        <w:t>Fig. 3 End-to-end time for direct NetCDF and externally archived `tar.gz` distribution.</w:t>
      </w:r>
      <w:r>
        <w:rPr>
          <w:rFonts w:ascii="Times New Roman" w:hAnsi="Times New Roman" w:eastAsia="宋体"/>
        </w:rPr>
        <w:t xml:space="preserve"> (a) The two-dimensional ELEV product; (b) the three-dimensional LAI product. Bars show median warm-cache end-to-end time, and error bars show 95% bootstrap confidence intervals. Independent environments A and B used identical input files and measurement protocols. Percentages above the bars indicate the reduction in median time achieved by direct NetCDF relative to external </w:t>
      </w:r>
      <w:r>
        <w:rPr>
          <w:rFonts w:ascii="Consolas" w:hAnsi="Consolas" w:eastAsia="等线"/>
        </w:rPr>
        <w:t>tar.gz</w:t>
      </w:r>
      <w:r>
        <w:rPr>
          <w:rFonts w:ascii="Times New Roman" w:hAnsi="Times New Roman" w:eastAsia="宋体"/>
        </w:rPr>
        <w:t xml:space="preserve"> archives.</w:t>
      </w:r>
    </w:p>
    <w:p>
      <w:pPr>
        <w:pStyle w:val="Heading2"/>
      </w:pPr>
      <w:r>
        <w:rPr>
          <w:rFonts w:ascii="Times New Roman" w:hAnsi="Times New Roman" w:eastAsia="宋体"/>
        </w:rPr>
        <w:t>4.3 Collector与可信多镜像分发</w:t>
      </w:r>
    </w:p>
    <w:p>
      <w:r>
        <w:rPr>
          <w:rFonts w:ascii="Times New Roman" w:hAnsi="Times New Roman" w:eastAsia="宋体"/>
        </w:rPr>
        <w:t>Collector将目录初始化、事务更新、产品同步、镜像获取、状态查询和历史数据整理组织为统一的数据维护接口。独立目录使数据产品能够随镜像和版本持续更新，cache与public分层保存机制则将传输过程与正式数据分离，使上一有效目录和已发布产品在目录更新与镜像切换过程中保持稳定。</w:t>
      </w:r>
    </w:p>
    <w:p>
      <w:r>
        <w:rPr>
          <w:rFonts w:ascii="Times New Roman" w:hAnsi="Times New Roman" w:eastAsia="宋体"/>
        </w:rPr>
        <w:t>由13类镜像状态构成的可靠性分析表明，Collector能够优先选择延迟较低的候选，同时保留全部URL并依次回退。每次获取采用独立</w:t>
      </w:r>
      <w:r>
        <w:rPr>
          <w:rFonts w:ascii="Consolas" w:hAnsi="Consolas" w:eastAsia="等线"/>
        </w:rPr>
        <w:t>.part</w:t>
      </w:r>
      <w:r>
        <w:rPr>
          <w:rFonts w:ascii="Times New Roman" w:hAnsi="Times New Roman" w:eastAsia="宋体"/>
        </w:rPr>
        <w:t>文件，内容经字节数和SHA-256确认后进入正式路径；130次获取记录均完成临时文件回收，既有正式文件摘要保持一致。</w:t>
      </w:r>
    </w:p>
    <w:p>
      <w:r>
        <w:rPr>
          <w:rFonts w:ascii="Times New Roman" w:hAnsi="Times New Roman" w:eastAsia="宋体"/>
        </w:rPr>
        <w:t>公共网络环境下，4个标签经Zenodo完成24次下载，全部达到登记字节数并通过SHA-256核验。下载时间随文件规模呈梯度变化，重复传输的SHA-256摘要与目录登记值一致，体现了公共镜像、事务缓存和完整性校验的协同作用。</w:t>
      </w:r>
    </w:p>
    <w:p>
      <w:r>
        <w:rPr>
          <w:rFonts w:ascii="Times New Roman" w:hAnsi="Times New Roman" w:eastAsia="宋体"/>
        </w:rPr>
        <w:t>中科大校园网环境下，FTP与Zenodo各完成12次同文件下载，24次结果均达到登记字节数并通过SHA-256核验。4个文件的FTP中位下载时间为0.071～0.356 s，Zenodo为1.091～14.092 s；FTP往返延迟为1.0～13.5 ms，延迟辅助排序与实际传输表现一致。机构镜像与公共镜像提供内容一致的分发副本，多镜像目录据此适配不同访问环境。</w:t>
      </w:r>
    </w:p>
    <w:p>
      <w:pPr>
        <w:pStyle w:val="Heading2"/>
      </w:pPr>
      <w:r>
        <w:rPr>
          <w:rFonts w:ascii="Times New Roman" w:hAnsi="Times New Roman" w:eastAsia="宋体"/>
        </w:rPr>
        <w:t>4.4 统一读取与模型就绪应用</w:t>
      </w:r>
    </w:p>
    <w:p>
      <w:r>
        <w:rPr>
          <w:rFonts w:ascii="Times New Roman" w:hAnsi="Times New Roman" w:eastAsia="宋体"/>
        </w:rPr>
        <w:t>标签驱动的数据访问支持整场、周期和站点读取以及经纬度索引，并由</w:t>
      </w:r>
      <w:r>
        <w:rPr>
          <w:rFonts w:ascii="Consolas" w:hAnsi="Consolas" w:eastAsia="等线"/>
        </w:rPr>
        <w:t>read_dataset</w:t>
      </w:r>
      <w:r>
        <w:rPr>
          <w:rFonts w:ascii="Times New Roman" w:hAnsi="Times New Roman" w:eastAsia="宋体"/>
        </w:rPr>
        <w:t>统一实现；</w:t>
      </w:r>
      <w:r>
        <w:rPr>
          <w:rFonts w:ascii="Consolas" w:hAnsi="Consolas" w:eastAsia="等线"/>
        </w:rPr>
        <w:t>read_LUT</w:t>
      </w:r>
      <w:r>
        <w:rPr>
          <w:rFonts w:ascii="Times New Roman" w:hAnsi="Times New Roman" w:eastAsia="宋体"/>
        </w:rPr>
        <w:t>作为兼容别名延续原有调用方式。格点尺度陆面参数融合和气象驱动组织分别由</w:t>
      </w:r>
      <w:r>
        <w:rPr>
          <w:rFonts w:ascii="Consolas" w:hAnsi="Consolas" w:eastAsia="等线"/>
        </w:rPr>
        <w:t>grid_dict</w:t>
      </w:r>
      <w:r>
        <w:rPr>
          <w:rFonts w:ascii="Times New Roman" w:hAnsi="Times New Roman" w:eastAsia="宋体"/>
        </w:rPr>
        <w:t>与</w:t>
      </w:r>
      <w:r>
        <w:rPr>
          <w:rFonts w:ascii="Consolas" w:hAnsi="Consolas" w:eastAsia="等线"/>
        </w:rPr>
        <w:t>grid_weather</w:t>
      </w:r>
      <w:r>
        <w:rPr>
          <w:rFonts w:ascii="Times New Roman" w:hAnsi="Times New Roman" w:eastAsia="宋体"/>
        </w:rPr>
        <w:t>实现，支持植被、裸土和时间序列等模型输入场景。GriddingMachine输出由此进入Emerald参数组织、气象组织、模型初始化和60 s单步计算，建立从标准数据读取到模型首个时间步的直接连接。</w:t>
      </w:r>
    </w:p>
    <w:p>
      <w:r>
        <w:rPr>
          <w:rFonts w:ascii="Times New Roman" w:hAnsi="Times New Roman" w:eastAsia="宋体"/>
        </w:rPr>
        <w:t>陆面案例使用2020年</w:t>
      </w:r>
      <w:r>
        <w:rPr>
          <w:rFonts w:ascii="Consolas" w:hAnsi="Consolas" w:eastAsia="等线"/>
        </w:rPr>
        <w:t>gm2</w:t>
      </w:r>
      <w:r>
        <w:rPr>
          <w:rFonts w:ascii="Times New Roman" w:hAnsi="Times New Roman" w:eastAsia="宋体"/>
        </w:rPr>
        <w:t>的14类标准产品，文件大小、来源摘要和SHA-256均通过核验。US-NR1站点映射至相应规则格点，</w:t>
      </w:r>
      <w:r>
        <w:rPr>
          <w:rFonts w:ascii="Consolas" w:hAnsi="Consolas" w:eastAsia="等线"/>
        </w:rPr>
        <w:t>grid_dict</w:t>
      </w:r>
      <w:r>
        <w:rPr>
          <w:rFonts w:ascii="Times New Roman" w:hAnsi="Times New Roman" w:eastAsia="宋体"/>
        </w:rPr>
        <w:t>组织34个模型字段、366日季节序列、4个土壤层和17个植物功能型，高程、陆地掩膜与叶面积指数得到一致读取。撒哈拉案例返回非植被格点状态，体现了接口根据陆面特征组织模型入口的能力。</w:t>
      </w:r>
      <w:r>
        <w:rPr>
          <w:rFonts w:ascii="Consolas" w:hAnsi="Consolas" w:eastAsia="等线"/>
        </w:rPr>
        <w:t>gm2</w:t>
      </w:r>
      <w:r>
        <w:rPr>
          <w:rFonts w:ascii="Times New Roman" w:hAnsi="Times New Roman" w:eastAsia="宋体"/>
        </w:rPr>
        <w:t>文件由此贯通完整性目录、统一读取和陆面参数组织，并覆盖植被与非植被入口。</w:t>
      </w:r>
    </w:p>
    <w:p>
      <w:pPr>
        <w:pStyle w:val="Heading2"/>
      </w:pPr>
      <w:r>
        <w:rPr>
          <w:rFonts w:ascii="Times New Roman" w:hAnsi="Times New Roman" w:eastAsia="宋体"/>
        </w:rPr>
        <w:t>4.5 多操作系统环境运行表现</w:t>
      </w:r>
    </w:p>
    <w:p>
      <w:r>
        <w:rPr>
          <w:rFonts w:ascii="Times New Roman" w:hAnsi="Times New Roman" w:eastAsia="宋体"/>
        </w:rPr>
        <w:t>各操作系统环境均可运行标准产品生产、直接NetCDF分发、多镜像获取和Emerald模型接口，并获得一致的数据结构、SHA-256摘要和模型字段。同一下载接口在各环境中实现延迟辅助排序、全候选保留和顺序回退，体现了核心代码路径的可移植性、数据接口的一致性及其对网络条件变化的适应能力。</w:t>
      </w:r>
    </w:p>
    <w:p>
      <w:r>
        <w:rPr>
          <w:rFonts w:ascii="Times New Roman" w:hAnsi="Times New Roman" w:eastAsia="宋体"/>
        </w:rPr>
        <w:t>公共网络中的Zenodo下载和校园网中的FTP—Zenodo对照均通过完整性核验。多网络环境结果共同展示了公共镜像与机构镜像的互补价值，以及全URL回退机制对访问条件变化的适应能力。</w:t>
      </w:r>
    </w:p>
    <w:p>
      <w:r>
        <w:rPr>
          <w:rFonts w:ascii="Times New Roman" w:hAnsi="Times New Roman" w:eastAsia="宋体"/>
        </w:rPr>
        <w:t>GriddingMachine、GriddingMachineDatasets、Emerald及研究材料仓库的跨操作系统持续集成工作流均保持自动执行。统一的项目依赖、参考数据和模型接口形成可持续维护机制，使软件更新能够继承本文建立的数据生产、可信分发和模型调用能力。</w:t>
      </w:r>
    </w:p>
    <w:p>
      <w:pPr>
        <w:pStyle w:val="Heading1"/>
      </w:pPr>
      <w:r>
        <w:rPr>
          <w:rFonts w:ascii="Times New Roman" w:hAnsi="Times New Roman" w:eastAsia="宋体"/>
        </w:rPr>
        <w:t>5 讨论</w:t>
      </w:r>
    </w:p>
    <w:p>
      <w:pPr>
        <w:pStyle w:val="Heading2"/>
      </w:pPr>
      <w:r>
        <w:rPr>
          <w:rFonts w:ascii="Times New Roman" w:hAnsi="Times New Roman" w:eastAsia="宋体"/>
        </w:rPr>
        <w:t>5.1 从数据集合到可维护工作流</w:t>
      </w:r>
    </w:p>
    <w:p>
      <w:r>
        <w:rPr>
          <w:rFonts w:ascii="Times New Roman" w:hAnsi="Times New Roman" w:eastAsia="宋体"/>
        </w:rPr>
        <w:t>2022版GriddingMachine建立了统一网格、变量约定和标签化数据访问[4]。当前更新进一步形成共享配置契约、显式源维度映射、与软件版本解耦的数据目录、事务式多镜像获取和模型就绪接口。14类陆面产品、校园网FTP—Zenodo获取和跨操作系统运行共同展示这些能力，GriddingMachine由此从标准数据集合演进为连接生产、分发、读取和模型调用的数据生命周期框架。</w:t>
      </w:r>
    </w:p>
    <w:p>
      <w:r>
        <w:rPr>
          <w:rFonts w:ascii="Times New Roman" w:hAnsi="Times New Roman" w:eastAsia="宋体"/>
        </w:rPr>
        <w:t>新版框架在三个层次推进GriddingMachine：生产端以共享YAML契约连接维度、坐标、Gapfill和标准NetCDF，并由OISST产品展示异构维度、打包数值和经度体系的统一转换；分发端以独立目录、直接NetCDF与事务缓存连接机构镜像和公共镜像；应用端以统一读取、Emerald最小步进和</w:t>
      </w:r>
      <w:r>
        <w:rPr>
          <w:rFonts w:ascii="Consolas" w:hAnsi="Consolas" w:eastAsia="等线"/>
        </w:rPr>
        <w:t>gm2</w:t>
      </w:r>
      <w:r>
        <w:rPr>
          <w:rFonts w:ascii="Times New Roman" w:hAnsi="Times New Roman" w:eastAsia="宋体"/>
        </w:rPr>
        <w:t>陆面链路连接数据产品与模型。海温与陆面产品共同呈现框架在全球规则网格数据生命周期中的适用性。</w:t>
      </w:r>
    </w:p>
    <w:p>
      <w:pPr>
        <w:pStyle w:val="Heading2"/>
      </w:pPr>
      <w:r>
        <w:rPr>
          <w:rFonts w:ascii="Times New Roman" w:hAnsi="Times New Roman" w:eastAsia="宋体"/>
        </w:rPr>
        <w:t>5.2 与相关地球科学数据基础设施的关系</w:t>
      </w:r>
    </w:p>
    <w:p>
      <w:r>
        <w:rPr>
          <w:rFonts w:ascii="Times New Roman" w:hAnsi="Times New Roman" w:eastAsia="宋体"/>
        </w:rPr>
        <w:t>Earth Engine把大规模地理空间数据与云端计算结合，服务行星尺度分析[3]；ESGF通过分布式节点、搜索和联合身份基础设施支撑气候模式数据的发现与访问[10]；Pangeo倡导分析就绪、云优化数据以及计算与数据邻近的云原生模式[11]，Pangeo Forge进一步以可复用配方和目录组织分析就绪数据生产[12]。GriddingMachine与这些基础设施形成互补，面向经过选择和统一的全球规则网格产品，以及需要在本地Julia工作流中按固定标签复现参数与气象驱动的模型使用场景。</w:t>
      </w:r>
    </w:p>
    <w:p>
      <w:r>
        <w:rPr>
          <w:rFonts w:ascii="Times New Roman" w:hAnsi="Times New Roman" w:eastAsia="宋体"/>
        </w:rPr>
        <w:t>GriddingMachine的互补性体现在三个层次：以YAML保留从异构源数据到标准NetCDF的处理意图；以轻量目录连接机构镜像和通用存储；以标签驱动的数据访问、格点尺度陆面参数融合和气象驱动组织把标准产品转换为模型所需字段。Pangeo Forge侧重云端分析就绪数据生产的配方—基础设施分离[12]，本文流程侧重可直接下载的单体NetCDF、离线缓存、完整性落盘和固定模型接口。云优化分块格式适配超大规模近数据计算[11]，ESGF适配CMIP等机构联合治理[10]，GriddingMachine则服务可下载、可本地缓存的全球规则网格数据及其模型输入组织。</w:t>
      </w:r>
    </w:p>
    <w:p>
      <w:r>
        <w:rPr>
          <w:rFonts w:ascii="Times New Roman" w:hAnsi="Times New Roman" w:eastAsia="宋体"/>
        </w:rPr>
        <w:t>国内地球系统科学数据共享研究强调目录体系和规范关键词对数据管理与检索的作用[13]；Pooch以文件名、URL和SHA-256注册表实现远端文件获取、本地缓存和完整性校验[14]；STAC为广泛地理空间资产提供通用元数据结构与查询标准[15]。GriddingMachine进一步面向规则网格和模型标签，将上游生产配置、标准NetCDF、事务式多镜像落盘和下游模型字段组织置于同一机器可执行契约中，形成具有领域针对性的端到端整合。</w:t>
      </w:r>
    </w:p>
    <w:p>
      <w:pPr>
        <w:pStyle w:val="Heading2"/>
      </w:pPr>
      <w:r>
        <w:rPr>
          <w:rFonts w:ascii="Times New Roman" w:hAnsi="Times New Roman" w:eastAsia="宋体"/>
        </w:rPr>
        <w:t>5.3 FAIR与可复现性建设</w:t>
      </w:r>
    </w:p>
    <w:p>
      <w:r>
        <w:rPr>
          <w:rFonts w:ascii="Times New Roman" w:hAnsi="Times New Roman" w:eastAsia="宋体"/>
        </w:rPr>
        <w:t>标签和独立目录提高数据的可发现性，多URL和直接NetCDF增强获取能力，统一网格与变量约定促进互操作，文件级变更记录与发布级配置归档共同支撑复用[1]。FAIR4RS强调科研软件的可执行性、复合依赖、持续演化和版本管理[16]；TRUST原则进一步提出透明度、责任、用户关注、可持续性和技术能力[17]。对我国国家科学数据中心的调研也显示，标准化元数据、持久标识与清晰的数据使用信息是提升科学数据复用水平的重要环节[18]。</w:t>
      </w:r>
    </w:p>
    <w:p>
      <w:r>
        <w:rPr>
          <w:rFonts w:ascii="Times New Roman" w:hAnsi="Times New Roman" w:eastAsia="宋体"/>
        </w:rPr>
        <w:t>GriddingMachine以权威文件生成</w:t>
      </w:r>
      <w:r>
        <w:rPr>
          <w:rFonts w:ascii="Consolas" w:hAnsi="Consolas" w:eastAsia="等线"/>
        </w:rPr>
        <w:t>SIZE/SHA256</w:t>
      </w:r>
      <w:r>
        <w:rPr>
          <w:rFonts w:ascii="Times New Roman" w:hAnsi="Times New Roman" w:eastAsia="宋体"/>
        </w:rPr>
        <w:t>，通过下载后校验、目录事务替换和版本化依赖连接数据产品、目录与软件环境。OISST和ELEV案例进一步将配置、坐标、科学数组、文件摘要和读取结果纳入同一复现链，为软件与数据版本的共同引用提供基础[8]。</w:t>
      </w:r>
    </w:p>
    <w:p>
      <w:pPr>
        <w:pStyle w:val="Heading2"/>
      </w:pPr>
      <w:r>
        <w:rPr>
          <w:rFonts w:ascii="Times New Roman" w:hAnsi="Times New Roman" w:eastAsia="宋体"/>
        </w:rPr>
        <w:t>5.4 框架扩展与应用前景</w:t>
      </w:r>
    </w:p>
    <w:p>
      <w:r>
        <w:rPr>
          <w:rFonts w:ascii="Times New Roman" w:hAnsi="Times New Roman" w:eastAsia="宋体"/>
        </w:rPr>
        <w:t>共享YAML契约为历史产品迁移以及非规则网格、区域投影和复杂时间坐标的源适配提供统一入口；坐标单调性、值域、逐点数组断言与方向图能够进一步汇入同一质量报告。独立目录和多镜像机制也便于积累不同文件规模、网络条件与持续时间下的传输观测，从而持续优化候选排序和镜像组织。围绕OISST建立的异构产品生产链可自然扩展至多时段海洋与气象数据，结构化目录服务和永久软件归档则将增强数据发现、版本引用及跨团队复用能力。</w:t>
      </w:r>
    </w:p>
    <w:p>
      <w:r>
        <w:rPr>
          <w:rFonts w:ascii="Times New Roman" w:hAnsi="Times New Roman" w:eastAsia="宋体"/>
        </w:rPr>
        <w:t>现有数据贡献模板、规则网格索引、植被与非植被入口、陆面参数融合及气象驱动组织能力，已经为长期模拟和多模型适配形成稳定接口。</w:t>
      </w:r>
      <w:r>
        <w:rPr>
          <w:rFonts w:ascii="Consolas" w:hAnsi="Consolas" w:eastAsia="等线"/>
        </w:rPr>
        <w:t>gm2</w:t>
      </w:r>
      <w:r>
        <w:rPr>
          <w:rFonts w:ascii="Times New Roman" w:hAnsi="Times New Roman" w:eastAsia="宋体"/>
        </w:rPr>
        <w:t>陆面链路与Emerald模型初始化进一步表明，GriddingMachine可以作为数据产品与地球系统模型之间的轻量中间层，在保持标准产品独立性的同时支持模型参数、边界条件和驱动数据的统一组织。</w:t>
      </w:r>
    </w:p>
    <w:p>
      <w:pPr>
        <w:pStyle w:val="Heading1"/>
      </w:pPr>
      <w:r>
        <w:rPr>
          <w:rFonts w:ascii="Times New Roman" w:hAnsi="Times New Roman" w:eastAsia="宋体"/>
        </w:rPr>
        <w:t>6 结论</w:t>
      </w:r>
    </w:p>
    <w:p>
      <w:r>
        <w:rPr>
          <w:rFonts w:ascii="Times New Roman" w:hAnsi="Times New Roman" w:eastAsia="宋体"/>
        </w:rPr>
        <w:t>本文在2022版GriddingMachine基础上构建由共享YAML schema、显式源维度映射、Gapfill、独立目录、直接NetCDF、事务式缓存及统一读取接口组成的可执行数据生命周期，实现从异构源数据到模型就绪输入的贯通。</w:t>
      </w:r>
    </w:p>
    <w:p>
      <w:r>
        <w:rPr>
          <w:rFonts w:ascii="Times New Roman" w:hAnsi="Times New Roman" w:eastAsia="宋体"/>
        </w:rPr>
        <w:t>OISST V2.1产品从四维打包源数据生成1440×720标准海表温度产品，坐标、有效值掩膜和691 150个物理值与独立参考逐点一致。对于已经内部压缩的ELEV和LAI产品，直接NetCDF在两个独立环境中将缓存预热后的端到端中位时间降低48.3%～82.9%和53.6%～69.2%；校园网内4个代表性产品通过FTP与Zenodo实现内容一致的双镜像获取，14类陆面产品生成US-NR1参数字典并进入Emerald模型初始化。</w:t>
      </w:r>
    </w:p>
    <w:p>
      <w:r>
        <w:rPr>
          <w:rFonts w:ascii="Times New Roman" w:hAnsi="Times New Roman" w:eastAsia="宋体"/>
        </w:rPr>
        <w:t>GriddingMachine由此形成面向地球系统模型的轻量数据生产与可信分发基础设施。海温产品生产、陆面参数组织与双镜像分发共同体现框架对全球规则网格数据的贯通能力，并为多时段产品、气象驱动和长期模型应用提供统一的数据基础。</w:t>
      </w:r>
    </w:p>
    <w:p>
      <w:pPr>
        <w:pStyle w:val="Heading1"/>
      </w:pPr>
      <w:r>
        <w:rPr>
          <w:rFonts w:ascii="Times New Roman" w:hAnsi="Times New Roman" w:eastAsia="宋体"/>
        </w:rPr>
        <w:t>数据和代码可用性声明</w:t>
      </w:r>
    </w:p>
    <w:p>
      <w:r>
        <w:rPr>
          <w:rFonts w:ascii="Times New Roman" w:hAnsi="Times New Roman" w:eastAsia="宋体"/>
        </w:rPr>
        <w:t>GriddingMachine.jl源代码公开于https://github.com/CliMA/GriddingMachine.jl，数据生产代码公开于https://github.com/jhOo1/GriddingMachineDatasets，Emerald模型接口环境公开于https://github.com/jhOo1/Emerald-paper，论文补充材料、实验协议、脚本和结果公开于https://github.com/jhOo1/GriddingMachine_Reaserach。GriddingMachine.jl和GriddingMachineDatasets的论文对应代码固定于</w:t>
      </w:r>
      <w:r>
        <w:rPr>
          <w:rFonts w:ascii="Consolas" w:hAnsi="Consolas" w:eastAsia="等线"/>
        </w:rPr>
        <w:t>paper-release</w:t>
      </w:r>
      <w:r>
        <w:rPr>
          <w:rFonts w:ascii="Times New Roman" w:hAnsi="Times New Roman" w:eastAsia="宋体"/>
        </w:rPr>
        <w:t>分支，各仓库提供版本化依赖与持续集成配置；投稿版本将通过正式发布版本（release）和永久归档保存软件、数据目录、实验结果、环境文件和绘图脚本。</w:t>
      </w:r>
    </w:p>
    <w:p>
      <w:pPr>
        <w:pStyle w:val="Heading1"/>
      </w:pPr>
      <w:r>
        <w:rPr>
          <w:rFonts w:ascii="Times New Roman" w:hAnsi="Times New Roman" w:eastAsia="宋体"/>
        </w:rPr>
        <w:t>基金项目</w:t>
      </w:r>
    </w:p>
    <w:p>
      <w:r>
        <w:rPr>
          <w:rFonts w:ascii="Times New Roman" w:hAnsi="Times New Roman" w:eastAsia="宋体"/>
        </w:rPr>
        <w:t>【待作者和通讯作者补充基金项目中文/英文名称及编号；如无资助，按期刊要求声明。】</w:t>
      </w:r>
    </w:p>
    <w:p>
      <w:pPr>
        <w:pStyle w:val="Heading1"/>
      </w:pPr>
      <w:r>
        <w:rPr>
          <w:rFonts w:ascii="Times New Roman" w:hAnsi="Times New Roman" w:eastAsia="宋体"/>
        </w:rPr>
        <w:t>作者贡献</w:t>
      </w:r>
    </w:p>
    <w:p>
      <w:r>
        <w:rPr>
          <w:rFonts w:ascii="Times New Roman" w:hAnsi="Times New Roman" w:eastAsia="宋体"/>
        </w:rPr>
        <w:t>姜皓：概念设计、方法设计、软件、数据整理、可视化、初稿撰写。王玉杰：概念设计、研究指导、项目管理、论文审阅与修改。</w:t>
      </w:r>
    </w:p>
    <w:p>
      <w:pPr>
        <w:pStyle w:val="Heading1"/>
      </w:pPr>
      <w:r>
        <w:rPr>
          <w:rFonts w:ascii="Times New Roman" w:hAnsi="Times New Roman" w:eastAsia="宋体"/>
        </w:rPr>
        <w:t>利益冲突声明</w:t>
      </w:r>
    </w:p>
    <w:p>
      <w:r>
        <w:rPr>
          <w:rFonts w:ascii="Times New Roman" w:hAnsi="Times New Roman" w:eastAsia="宋体"/>
        </w:rPr>
        <w:t>作者声明不存在利益冲突【投稿前由全体作者确认】。</w:t>
      </w:r>
    </w:p>
    <w:p>
      <w:pPr>
        <w:pStyle w:val="Heading1"/>
      </w:pPr>
      <w:r>
        <w:rPr>
          <w:rFonts w:ascii="Times New Roman" w:hAnsi="Times New Roman" w:eastAsia="宋体"/>
        </w:rPr>
        <w:t>AI 工具使用声明</w:t>
      </w:r>
    </w:p>
    <w:p>
      <w:r>
        <w:rPr>
          <w:rFonts w:ascii="Times New Roman" w:hAnsi="Times New Roman" w:eastAsia="宋体"/>
        </w:rPr>
        <w:t>本文准备过程中使用OpenAI Codex辅助整理研究材料与代码差异、检查论文结构、修订部分文字、审查分析脚本、汇总结果并辅助图件制作。研究目标、分析方法和结论由作者确定；作者核验软件版本、数据、文件摘要、图件数值和正文表述，并对研究设计、数据真实性、结果解释及全文承担责任。</w:t>
      </w:r>
    </w:p>
    <w:p>
      <w:pPr>
        <w:pStyle w:val="Heading1"/>
      </w:pPr>
      <w:r>
        <w:rPr>
          <w:rFonts w:ascii="Times New Roman" w:hAnsi="Times New Roman" w:eastAsia="宋体"/>
        </w:rPr>
        <w:t>参考文献</w:t>
      </w:r>
    </w:p>
    <w:p>
      <w:r>
        <w:rPr>
          <w:rFonts w:ascii="Times New Roman" w:hAnsi="Times New Roman" w:eastAsia="宋体"/>
        </w:rPr>
        <w:t>[1] WILKINSON M D, DUMONTIER M, AALBERSBERG I J, et al. The FAIR Guiding Principles for scientific data management and stewardship[J]. Scientific Data, 2016, 3: 160018. DOI: 10.1038/sdata.2016.18.</w:t>
      </w:r>
    </w:p>
    <w:p>
      <w:r>
        <w:rPr>
          <w:rFonts w:ascii="Times New Roman" w:hAnsi="Times New Roman" w:eastAsia="宋体"/>
        </w:rPr>
        <w:t>[2] CF CONVENTIONS COMMITTEE. CF Metadata Conventions[EB/OL]. [2026-08-07]. https://cfconventions.org/.</w:t>
      </w:r>
    </w:p>
    <w:p>
      <w:r>
        <w:rPr>
          <w:rFonts w:ascii="Times New Roman" w:hAnsi="Times New Roman" w:eastAsia="宋体"/>
        </w:rPr>
        <w:t>[3] GORELICK N, HANCHER M, DIXON M, et al. Google Earth Engine: Planetary-scale geospatial analysis for everyone[J]. Remote Sensing of Environment, 2017, 202: 18-27. DOI: 10.1016/j.rse.2017.06.031.</w:t>
      </w:r>
    </w:p>
    <w:p>
      <w:r>
        <w:rPr>
          <w:rFonts w:ascii="Times New Roman" w:hAnsi="Times New Roman" w:eastAsia="宋体"/>
        </w:rPr>
        <w:t>[4] WANG Y, KÖHLER P, BRAGHIERE R K, et al. GriddingMachine, a database and software for Earth system modeling at global and regional scales[J]. Scientific Data, 2022, 9: 258. DOI: 10.1038/s41597-022-01346-x.</w:t>
      </w:r>
    </w:p>
    <w:p>
      <w:r>
        <w:rPr>
          <w:rFonts w:ascii="Times New Roman" w:hAnsi="Times New Roman" w:eastAsia="宋体"/>
        </w:rPr>
        <w:t>[5] REW R, DAVIS G. NetCDF: An interface for scientific data access[J]. IEEE Computer Graphics and Applications, 1990, 10(4): 76-82. DOI: 10.1109/38.56302.</w:t>
      </w:r>
    </w:p>
    <w:p>
      <w:r>
        <w:rPr>
          <w:rFonts w:ascii="Times New Roman" w:hAnsi="Times New Roman" w:eastAsia="宋体"/>
        </w:rPr>
        <w:t>[6] MAHECHA M D, GANS F, BRANDT G, et al. Earth system data cubes unravel global multivariate dynamics[J]. Earth System Dynamics, 2020, 11: 201-234. DOI: 10.5194/esd-11-201-2020.</w:t>
      </w:r>
    </w:p>
    <w:p>
      <w:r>
        <w:rPr>
          <w:rFonts w:ascii="Times New Roman" w:hAnsi="Times New Roman" w:eastAsia="宋体"/>
        </w:rPr>
        <w:t>[7] BEZANSON J, EDELMAN A, KARPINSKI S, et al. Julia: A fresh approach to numerical computing[J]. SIAM Review, 2017, 59(1): 65-98. DOI: 10.1137/141000671.</w:t>
      </w:r>
    </w:p>
    <w:p>
      <w:r>
        <w:rPr>
          <w:rFonts w:ascii="Times New Roman" w:hAnsi="Times New Roman" w:eastAsia="宋体"/>
        </w:rPr>
        <w:t>[8] SMITH A M, KATZ D S, NIEMEYER K E, et al. Software citation principles[J]. PeerJ Computer Science, 2016, 2: e86. DOI: 10.7717/peerj-cs.86.</w:t>
      </w:r>
    </w:p>
    <w:p>
      <w:r>
        <w:rPr>
          <w:rFonts w:ascii="Times New Roman" w:hAnsi="Times New Roman" w:eastAsia="宋体"/>
        </w:rPr>
        <w:t>[9] HUANG B, LIU C, BANZON V, et al. Improvements of the Daily Optimum Interpolation Sea Surface Temperature (DOISST) Version 2.1[J]. Journal of Climate, 2021, 34(8): 2923-2939. DOI: 10.1175/JCLI-D-20-0166.1.</w:t>
      </w:r>
    </w:p>
    <w:p>
      <w:r>
        <w:rPr>
          <w:rFonts w:ascii="Times New Roman" w:hAnsi="Times New Roman" w:eastAsia="宋体"/>
        </w:rPr>
        <w:t>[10] CINQUINI L, CRICHTON D, MATTMANN C, et al. The Earth System Grid Federation: An open infrastructure for access to distributed geospatial data[J]. Future Generation Computer Systems, 2014, 36: 400-417. DOI: 10.1016/j.future.2013.07.002.</w:t>
      </w:r>
    </w:p>
    <w:p>
      <w:r>
        <w:rPr>
          <w:rFonts w:ascii="Times New Roman" w:hAnsi="Times New Roman" w:eastAsia="宋体"/>
        </w:rPr>
        <w:t>[11] ABERNATHEY R P, AUGSPURGER T, BANIHIRWE A, et al. Cloud-native repositories for big scientific data[J]. Computing in Science &amp; Engineering, 2021, 23(2): 26-35. DOI: 10.1109/MCSE.2021.3059437.</w:t>
      </w:r>
    </w:p>
    <w:p>
      <w:r>
        <w:rPr>
          <w:rFonts w:ascii="Times New Roman" w:hAnsi="Times New Roman" w:eastAsia="宋体"/>
        </w:rPr>
        <w:t>[12] STERN C, ABERNATHEY R, HAMMAN J, et al. Pangeo Forge: Crowdsourcing analysis-ready, cloud optimized data production[J]. Frontiers in Climate, 2022, 3: 782909. DOI: 10.3389/fclim.2021.782909.</w:t>
      </w:r>
    </w:p>
    <w:p>
      <w:r>
        <w:rPr>
          <w:rFonts w:ascii="Times New Roman" w:hAnsi="Times New Roman" w:eastAsia="宋体"/>
        </w:rPr>
        <w:t>[13] 王卷乐, 林海, 冉盈盈, 等. 面向数据共享的地球系统科学数据分类探讨[J]. 地球科学进展, 2014, 29(2): 265-274. [WANG J L, LIN H, RAN Y Y, et al. A study of Earth System Science data classification for data sharing[J]. Advances in Earth Science, 2014, 29(2): 265-274.]</w:t>
      </w:r>
    </w:p>
    <w:p>
      <w:r>
        <w:rPr>
          <w:rFonts w:ascii="Times New Roman" w:hAnsi="Times New Roman" w:eastAsia="宋体"/>
        </w:rPr>
        <w:t>[14] UIEDA L, SOLER S R, RAMPIN R, et al. Pooch: A friend to fetch your data files[J]. Journal of Open Source Software, 2020, 5(45): 1943. DOI: 10.21105/joss.01943.</w:t>
      </w:r>
    </w:p>
    <w:p>
      <w:r>
        <w:rPr>
          <w:rFonts w:ascii="Times New Roman" w:hAnsi="Times New Roman" w:eastAsia="宋体"/>
        </w:rPr>
        <w:t>[15] OPEN GEOSPATIAL CONSORTIUM. SpatioTemporal Asset Catalog (STAC) Community Standard, Version 1.1.0[S/OL]. OGC 25-004, 2025[2026-08-15]. https://www.ogc.org/standards/stac/.</w:t>
      </w:r>
    </w:p>
    <w:p>
      <w:r>
        <w:rPr>
          <w:rFonts w:ascii="Times New Roman" w:hAnsi="Times New Roman" w:eastAsia="宋体"/>
        </w:rPr>
        <w:t>[16] BARKER M, CHUE HONG N P, KATZ D S, et al. Introducing the FAIR Principles for research software[J]. Scientific Data, 2022, 9: 622. DOI: 10.1038/s41597-022-01710-x.</w:t>
      </w:r>
    </w:p>
    <w:p>
      <w:r>
        <w:rPr>
          <w:rFonts w:ascii="Times New Roman" w:hAnsi="Times New Roman" w:eastAsia="宋体"/>
        </w:rPr>
        <w:t>[17] LIN D, CRABTREE J, DILLO I, et al. The TRUST Principles for digital repositories[J]. Scientific Data, 2020, 7: 144. DOI: 10.1038/s41597-020-0486-7.</w:t>
      </w:r>
    </w:p>
    <w:p>
      <w:r>
        <w:rPr>
          <w:rFonts w:ascii="Times New Roman" w:hAnsi="Times New Roman" w:eastAsia="宋体"/>
        </w:rPr>
        <w:t>[18] 李楠楠, 刘筱敏. 我国国家科学数据中心FAIR原则的实践现状调查与分析[J]. 图书与情报, 2023, 43(2): 137-144. DOI: 10.11968/tsyqb.1003-6938.2023032. [LI N N, LIU X M. Survey and analysis on the practice of FAIR principle in National Science Data Center of China[J]. Library and Information, 2023, 43(2): 137-144.]</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Times New Roman" w:hAnsi="Times New Roman"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ind w:firstLine="0"/>
      <w:contextualSpacing/>
    </w:pPr>
    <w:rPr>
      <w:rFonts w:asciiTheme="majorHAnsi" w:eastAsiaTheme="majorEastAsia" w:hAnsiTheme="majorHAnsi" w:cstheme="majorBidi" w:ascii="Times New Roman" w:hAnsi="Times New Roman" w:eastAsia="黑体"/>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面向地球系统模型的全球网格数据生产与可信分发：GriddingMachine框架更新与应用</dc:title>
  <dc:subject>导师审阅版，由Markdown源稿自动生成</dc:subject>
  <dc:creator>Hao Jiang; Yujie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