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作出优化：增加数据处理标准化流程，改进数据文件分发方式，完善数据目录与模式输入组织，并添加新的标准化数据及数据集。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new standardized datasets and dataset collections.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原则[1]。NetCDF具有自描述、跨系统和适合多维数组等特点，便于保存多维网格及其坐标信息[2]。Google Earth Engine等云平台通过改善数据表达、发现、访问及计算，提升了大尺度地学数据的访问和分析能力[3]。然而，对于面向固定版本、离线缓存和模式直接调用的工作流，研究人员仍需要把数据转换规则、标准产品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 artifact 机制（构建产物管理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基础上，更新数据预处理、数据分发和数据读取流程，形成数据生产与标准化、数据目录与获取、模式输入组织三个相互衔接的环节。数据生产与标准化层以共享 YAML 配置规范表达源维度、坐标、数值变换和缺失值填补（gap filling）及质量控制；数据目录与获取层以逻辑标签连接数据副本，并对登记了文件字节数和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总体架构与数据生命周期</w:t>
      </w:r>
    </w:p>
    <w:p>
      <w:r>
        <w:rPr>
          <w:rFonts w:ascii="Times New Roman" w:hAnsi="Times New Roman" w:eastAsia="Songti SC"/>
        </w:rPr>
        <w:t>GriddingMachine新版由三个相互衔接的数据生命周期环节构成（图1）：数据生产与标准化层负责把来源、结构和数值约定不同的全球网格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承担。三层共同形成“生产—质控—发布—发现—下载—读取—模式调用”的数据生命周期，其中各层通过标准NetCDF和稳定标签衔接，同时保留独立演化的维护边界。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GriddingMachine从2022版基线到新版数据生命周期的架构更新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文件、包内数据目录和读取函数</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lifecycle.</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archive files,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files,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生命周期”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表1概括2022版与新版的主要差异及其在数据生命周期中的作用。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归档文件</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，支持目录校验和独立更新</w:t>
            </w:r>
          </w:p>
        </w:tc>
        <w:tc>
          <w:tcPr>
            <w:tcW w:type="dxa" w:w="2211"/>
          </w:tcPr>
          <w:p>
            <w:r>
              <w:rPr>
                <w:sz w:val="18"/>
              </w:rPr>
            </w:r>
            <w:r>
              <w:rPr>
                <w:rFonts w:ascii="Times New Roman" w:hAnsi="Times New Roman" w:eastAsia="Songti SC"/>
                <w:sz w:val="18"/>
              </w:rPr>
              <w:t>数据目录可独立于软件版本维护</w:t>
            </w:r>
          </w:p>
        </w:tc>
      </w:tr>
      <w:tr>
        <w:tc>
          <w:tcPr>
            <w:tcW w:type="dxa" w:w="2211"/>
          </w:tcPr>
          <w:p>
            <w:r>
              <w:rPr>
                <w:sz w:val="18"/>
              </w:rPr>
            </w:r>
            <w:r>
              <w:rPr>
                <w:rFonts w:ascii="Times New Roman" w:hAnsi="Times New Roman" w:eastAsia="Songti SC"/>
                <w:sz w:val="18"/>
              </w:rPr>
              <w:t>数据获取</w:t>
            </w:r>
          </w:p>
        </w:tc>
        <w:tc>
          <w:tcPr>
            <w:tcW w:type="dxa" w:w="2211"/>
          </w:tcPr>
          <w:p>
            <w:r>
              <w:rPr>
                <w:sz w:val="18"/>
              </w:rPr>
            </w:r>
            <w:r>
              <w:rPr>
                <w:rFonts w:ascii="Times New Roman" w:hAnsi="Times New Roman" w:eastAsia="Songti SC"/>
                <w:sz w:val="18"/>
              </w:rPr>
              <w:t>artifact 哈希寻址、多个 URL 和解包</w:t>
            </w:r>
          </w:p>
        </w:tc>
        <w:tc>
          <w:tcPr>
            <w:tcW w:type="dxa" w:w="2211"/>
          </w:tcPr>
          <w:p>
            <w:r>
              <w:rPr>
                <w:sz w:val="18"/>
              </w:rPr>
            </w:r>
            <w:r>
              <w:rPr>
                <w:rFonts w:ascii="Times New Roman" w:hAnsi="Times New Roman" w:eastAsia="Songti SC"/>
                <w:sz w:val="18"/>
              </w:rPr>
              <w:t>多镜像回退、临时文件下载和完整性校验</w:t>
            </w:r>
          </w:p>
        </w:tc>
        <w:tc>
          <w:tcPr>
            <w:tcW w:type="dxa" w:w="2211"/>
          </w:tcPr>
          <w:p>
            <w:r>
              <w:rPr>
                <w:sz w:val="18"/>
              </w:rPr>
            </w:r>
            <w:r>
              <w:rPr>
                <w:rFonts w:ascii="Times New Roman" w:hAnsi="Times New Roman" w:eastAsia="Songti SC"/>
                <w:sz w:val="18"/>
              </w:rPr>
              <w:t>提高数据获取的可靠性和可追溯性</w:t>
            </w:r>
          </w:p>
        </w:tc>
      </w:tr>
      <w:tr>
        <w:tc>
          <w:tcPr>
            <w:tcW w:type="dxa" w:w="2211"/>
          </w:tcPr>
          <w:p>
            <w:r>
              <w:rPr>
                <w:sz w:val="18"/>
              </w:rPr>
            </w:r>
            <w:r>
              <w:rPr>
                <w:rFonts w:ascii="Times New Roman" w:hAnsi="Times New Roman" w:eastAsia="Songti SC"/>
                <w:sz w:val="18"/>
              </w:rPr>
              <w:t>数据读取接口</w:t>
            </w:r>
          </w:p>
        </w:tc>
        <w:tc>
          <w:tcPr>
            <w:tcW w:type="dxa" w:w="2211"/>
          </w:tcPr>
          <w:p>
            <w:r>
              <w:rPr>
                <w:sz w:val="18"/>
              </w:rPr>
            </w:r>
            <w:r>
              <w:rPr>
                <w:rFonts w:ascii="Times New Roman" w:hAnsi="Times New Roman" w:eastAsia="Songti SC"/>
                <w:sz w:val="18"/>
              </w:rPr>
              <w:t>以</w:t>
            </w:r>
            <w:r>
              <w:rPr>
                <w:rFonts w:ascii="Consolas" w:hAnsi="Consolas" w:eastAsia="Songti SC"/>
                <w:sz w:val="18"/>
              </w:rPr>
              <w:t>read_LUT</w:t>
            </w:r>
            <w:r>
              <w:rPr>
                <w:rFonts w:ascii="Times New Roman" w:hAnsi="Times New Roman" w:eastAsia="Songti SC"/>
                <w:sz w:val="18"/>
              </w:rPr>
              <w:t>读取已登记数据</w:t>
            </w:r>
          </w:p>
        </w:tc>
        <w:tc>
          <w:tcPr>
            <w:tcW w:type="dxa" w:w="2211"/>
          </w:tcPr>
          <w:p>
            <w:r>
              <w:rPr>
                <w:sz w:val="18"/>
              </w:rPr>
            </w:r>
            <w:r>
              <w:rPr>
                <w:rFonts w:ascii="Times New Roman" w:hAnsi="Times New Roman" w:eastAsia="Songti SC"/>
                <w:sz w:val="18"/>
              </w:rPr>
              <w:t>以</w:t>
            </w:r>
            <w:r>
              <w:rPr>
                <w:rFonts w:ascii="Consolas" w:hAnsi="Consolas" w:eastAsia="Songti SC"/>
                <w:sz w:val="18"/>
              </w:rPr>
              <w:t>read_dataset</w:t>
            </w:r>
            <w:r>
              <w:rPr>
                <w:rFonts w:ascii="Times New Roman" w:hAnsi="Times New Roman" w:eastAsia="Songti SC"/>
                <w:sz w:val="18"/>
              </w:rPr>
              <w:t>统一整场、周期和格点读取，并保留旧名称别名</w:t>
            </w:r>
          </w:p>
        </w:tc>
        <w:tc>
          <w:tcPr>
            <w:tcW w:type="dxa" w:w="2211"/>
          </w:tcPr>
          <w:p>
            <w:r>
              <w:rPr>
                <w:sz w:val="18"/>
              </w:rPr>
            </w:r>
            <w:r>
              <w:rPr>
                <w:rFonts w:ascii="Times New Roman" w:hAnsi="Times New Roman" w:eastAsia="Songti SC"/>
                <w:sz w:val="18"/>
              </w:rPr>
              <w:t>统一数据发现、读取和模式输入组织，降低旧接口迁移成本</w:t>
            </w:r>
          </w:p>
        </w:tc>
      </w:tr>
      <w:tr>
        <w:tc>
          <w:tcPr>
            <w:tcW w:type="dxa" w:w="2211"/>
          </w:tcPr>
          <w:p>
            <w:r>
              <w:rPr>
                <w:sz w:val="18"/>
              </w:rPr>
            </w:r>
            <w:r>
              <w:rPr>
                <w:rFonts w:ascii="Times New Roman" w:hAnsi="Times New Roman" w:eastAsia="Songti SC"/>
                <w:sz w:val="18"/>
              </w:rPr>
              <w:t>多语言访问</w:t>
            </w:r>
          </w:p>
        </w:tc>
        <w:tc>
          <w:tcPr>
            <w:tcW w:type="dxa" w:w="2211"/>
          </w:tcPr>
          <w:p>
            <w:r>
              <w:rPr>
                <w:sz w:val="18"/>
              </w:rPr>
            </w:r>
            <w:r>
              <w:rPr>
                <w:rFonts w:ascii="Times New Roman" w:hAnsi="Times New Roman" w:eastAsia="Songti SC"/>
                <w:sz w:val="18"/>
              </w:rPr>
              <w:t>提供Julia、Matlab、Octave、Python和R接口</w:t>
            </w:r>
          </w:p>
        </w:tc>
        <w:tc>
          <w:tcPr>
            <w:tcW w:type="dxa" w:w="2211"/>
          </w:tcPr>
          <w:p>
            <w:r>
              <w:rPr>
                <w:sz w:val="18"/>
              </w:rPr>
            </w:r>
            <w:r>
              <w:rPr>
                <w:rFonts w:ascii="Times New Roman" w:hAnsi="Times New Roman" w:eastAsia="Songti SC"/>
                <w:sz w:val="18"/>
              </w:rPr>
              <w:t>在保留原有接口的基础上完善Matlab、Octave、Python和R自动下载，并新增C和Fortran自动下载入口</w:t>
            </w:r>
          </w:p>
        </w:tc>
        <w:tc>
          <w:tcPr>
            <w:tcW w:type="dxa" w:w="2211"/>
          </w:tcPr>
          <w:p>
            <w:r>
              <w:rPr>
                <w:sz w:val="18"/>
              </w:rPr>
            </w:r>
            <w:r>
              <w:rPr>
                <w:rFonts w:ascii="Times New Roman" w:hAnsi="Times New Roman" w:eastAsia="Songti SC"/>
                <w:sz w:val="18"/>
              </w:rPr>
              <w:t>扩展科研人员获取新版网格数据的编程环境</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advances, and application value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缺失值填补与范围</w:t>
            </w:r>
          </w:p>
        </w:tc>
        <w:tc>
          <w:tcPr>
            <w:tcW w:type="dxa" w:w="2948"/>
          </w:tcPr>
          <w:p>
            <w:r>
              <w:rPr>
                <w:sz w:val="18"/>
              </w:rPr>
            </w:r>
            <w:r>
              <w:rPr>
                <w:rFonts w:ascii="Times New Roman" w:hAnsi="Times New Roman" w:eastAsia="Songti SC"/>
                <w:sz w:val="18"/>
              </w:rPr>
              <w:t>有效范围、填充值和缺失值填补策略由YAML显式声明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YAML声明维度、坐标、数值与缺失值填补规则；NetCDF属性写入逐项变更记录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新登记或严格完整性条目记录文件字节数和SHA-256；同一标签的受控镜像指向相同内容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缺失值填补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框架同时提供程序化和本地交互式配置生成方式。二者输出均经同一配置规范校验后进入</w:t>
      </w:r>
      <w:r>
        <w:rPr>
          <w:rFonts w:ascii="Consolas" w:hAnsi="Consolas" w:eastAsia="Songti SC"/>
        </w:rPr>
        <w:t>process_dataset!</w:t>
      </w:r>
      <w:r>
        <w:rPr>
          <w:rFonts w:ascii="Times New Roman" w:hAnsi="Times New Roman" w:eastAsia="Songti SC"/>
        </w:rPr>
        <w:t>，使数据贡献入口与生产流水线共享一致的字段语义。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生产流程在保存前检查维度、坐标、变量、数值范围和缺失值填补结果，空间方向图进一步呈现坐标语义。质量控制完成后生成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超文本传输协议（HTTP/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。严格完整性模式要求后两项同时存在，兼容模式保持历史条目的标签访问；目录规范和获取逻辑对多URL与完整性字段采用统一表达。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缺失值填补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 xml:space="preserve">植物功能型比例进一步用于融合 C3 和 C4 植物的叶片光学参数与 Medlyn 气孔导度模型参数，并由 25 ℃下最大羧化速率 </w:t>
      </w:r>
      <w:r>
        <w:rPr>
          <w:rFonts w:ascii="Consolas" w:hAnsi="Consolas" w:eastAsia="Songti SC"/>
        </w:rPr>
        <w:t>VCMAX25</w:t>
      </w:r>
      <w:r>
        <w:rPr>
          <w:rFonts w:ascii="Times New Roman" w:hAnsi="Times New Roman" w:eastAsia="Songti SC"/>
        </w:rPr>
        <w:t xml:space="preserve"> 推导最大电子传递速率 </w:t>
      </w:r>
      <w:r>
        <w:rPr>
          <w:rFonts w:ascii="Consolas" w:hAnsi="Consolas" w:eastAsia="Songti SC"/>
        </w:rPr>
        <w:t>JMAX25</w:t>
      </w:r>
      <w:r>
        <w:rPr>
          <w:rFonts w:ascii="Times New Roman" w:hAnsi="Times New Roman" w:eastAsia="Songti SC"/>
        </w:rPr>
        <w:t xml:space="preserve"> 和细胞色素 b6f 复合体参数 </w:t>
      </w:r>
      <w:r>
        <w:rPr>
          <w:rFonts w:ascii="Consolas" w:hAnsi="Consolas" w:eastAsia="Songti SC"/>
        </w:rPr>
        <w:t>B6F</w:t>
      </w:r>
      <w:r>
        <w:rPr>
          <w:rFonts w:ascii="Times New Roman" w:hAnsi="Times New Roman" w:eastAsia="Songti SC"/>
        </w:rPr>
        <w:t xml:space="preserve">。输出涵盖位置、分辨率、年份、二氧化碳（CO₂）、土壤水力性质、冠层结构、植物功能型组成、叶片生物物理和光合参数；字段完整性与缺失值标记 </w:t>
      </w:r>
      <w:r>
        <w:rPr>
          <w:rFonts w:ascii="Consolas" w:hAnsi="Consolas" w:eastAsia="Songti SC"/>
        </w:rPr>
        <w:t>NaN</w:t>
      </w:r>
      <w:r>
        <w:rPr>
          <w:rFonts w:ascii="Times New Roman" w:hAnsi="Times New Roman" w:eastAsia="Songti SC"/>
        </w:rPr>
        <w:t xml:space="preserve"> 状态同步进入质量控制。多个标准化数据由此形成结构一致的格点级模式输入。</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中的8类第五代全球再分析数据（ERA5）[6]，分别提取地表气压、降水、漫射与直射短波辐射、长波辐射、气温、水汽压亏缺和风速，并依据格点经度换算时区偏移、构建浮点年积日（fractional day of year，</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整场、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Zenodo公共网络记录；中科大校内网 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经度平移、线性缩放、范围过滤、缺失值填补、</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从维度、坐标、数值、缺失值填补、YAML配置、输出和空间方向7个方面组织31组代表性处理实例。各组对应生产流程中的一个关键操作，并以结构、逐点数值或数据集状态表征标准化结果；完整分类矩阵见补充材料S4。</w:t>
      </w:r>
    </w:p>
    <w:p>
      <w:r>
        <w:rPr>
          <w:rFonts w:ascii="Times New Roman" w:hAnsi="Times New Roman" w:eastAsia="Songti SC"/>
        </w:rPr>
        <w:t>数据集质量控制覆盖变量、维度、形状、属性、坐标方向、数值范围和缺失值填补结果。输出数组与位置编码参照逐点对应，Float32转换采用统一的绝对和相对容差；配置与数据集状态通过明确的流程信息反馈给维护者。质量报告同步保存最大绝对误差、最大相对误差、处理历史和重复生产一致性。</w:t>
      </w:r>
    </w:p>
    <w:p>
      <w:r>
        <w:rPr>
          <w:rFonts w:ascii="Times New Roman" w:hAnsi="Times New Roman" w:eastAsia="Songti SC"/>
        </w:rPr>
        <w:t>29组非交互处理实例在Windows、macOS和Linux持续集成环境中采用相同判据运行；空间方向测试 V01（方向正确）和 V02（南北反转）分别设置相应预期。自动结构与数值检查和人工空间审核共同评价生产契约在数组变换、配置解析和空间方向控制方面的跨系统一致性。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 xml:space="preserve">独立参考流程直接读取未缩放的Int16存储值，根据原始 NetCDF 变量属性 </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 xml:space="preserve"> 和 </w:t>
      </w:r>
      <w:r>
        <w:rPr>
          <w:rFonts w:ascii="Consolas" w:hAnsi="Consolas" w:eastAsia="Songti SC"/>
        </w:rPr>
        <w:t>_FillValue</w:t>
      </w:r>
      <w:r>
        <w:rPr>
          <w:rFonts w:ascii="Times New Roman" w:hAnsi="Times New Roman" w:eastAsia="Songti SC"/>
        </w:rPr>
        <w:t xml:space="preserve"> 构造物理值与缺失值掩膜，并独立计算目标经度索引。参考结果记录全场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数据目录生命周期涵盖首次建立、版本更新、目录同步、数据集获取、状态查询和历史数据整理。代表性目录包含不同版本的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机构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场景刻画Zenodo镜像获取特征；中科大校内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缺失值填补、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m；GriddingMachine整场读取与NetCDF底层Float32数组逐点一致。使用显式标准维度、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28433"/>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28433"/>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公共网络场景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中科大校内网双镜像实验是另一组独立记录：4个数据集分别从FTP和Zenodo重复获取3次，两类镜像各形成12次下载，共24次结果，均达到登记字节数并通过SHA-256核验。在本组中科大校内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中科大校内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然增加少量传输字节，但减少了临时占用并缩短缓存预热后的端到端访问时间。这一结果适用于所测文件与协议；其他文件规模、压缩程度和网络带宽下的收益取决于传输与解包开销的相对大小。选择分发方式时，应同时考虑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s首步计算。这些结果验证了本文数据组织方法与既定模式接口的衔接。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共享YAML配置统一描述源数据转换规则，独立目录组织标签、镜像和完整性信息，统一读取接口将标准化数据进一步组织为陆面参数和气象驱动；多语言下载入口扩展了数据获取的调用方式。</w:t>
      </w:r>
    </w:p>
    <w:p>
      <w:r>
        <w:rPr>
          <w:rFonts w:ascii="Times New Roman" w:hAnsi="Times New Roman" w:eastAsia="Songti SC"/>
        </w:rPr>
        <w:t>受控实例和真实数据案例为上述更新提供了验证。OISST标准化后的有效格点与独立参考逐点一致；ELEV和LAI在两个测试环境中采用直接NetCDF分发，缩短了缓存预热后的端到端访问时间并使逻辑临时占用约减半；中科大校内网 FTP与Zenodo的24次获取均通过文件大小和SHA-256核验。US-NR1案例中，14类陆面数据和8类ERA5逐时数据形成模式输入，各气象字段的8784个时间步与底层读取一致，并完成Emerald初始化和60 s首步计算。</w:t>
      </w:r>
    </w:p>
    <w:p>
      <w:r>
        <w:rPr>
          <w:rFonts w:ascii="Times New Roman" w:hAnsi="Times New Roman" w:eastAsia="Songti SC"/>
        </w:rPr>
        <w:t>更新后的GriddingMachine将数据处理规则、网络获取和模式输入连接为可重复调用的流程，为全球网格数据的持续维护和地球系统模式研究提供基础。后续将围绕数据覆盖、镜像维护和模式适配扩展其科研应用。</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AI 工具使用声明</w:t>
      </w:r>
    </w:p>
    <w:p>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 ERA5 reanalysis hourly data[EB/OL]. https://confluence.ecmwf.int/pages/viewpage.action?pageId=216478200.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