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与8类ERA5逐时产品在US-NR1形成参数和气象驱动，8784个时间步与底层NetCDF读取逐点一致，并完成Emerald初始化和60 s首步计算。新版GriddingMachine由此形成面向全球规则网格数据的可配置生产、可信分发和模型就绪应用框架，为地球系统数据产品的持续维护与复用提供轻量化基础设施。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matched direct NetCDF reads, and Emerald initialization and a 60 s first step completed with finite states.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[9]、高程（ELEV）与叶面积指数（LAI）产品分发效率、FTP—Zenodo镜像访问，以及由14类陆面产品和8类ERA5逐时产品[10]构成的US-NR1模型应用，分别呈现该框架的标准化能力、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2.4.2 镜像选择与事务式缓存</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14类陆面产品与8类ERA5产品形成US-NR1模型输入，8784个逐时值逐字段一致并完成Emerald首步</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，使标准产品元数据、数值尺度和模型换算形成一致的量纲链条。真实年度案例由此将模型就绪应用从字段组织推进到格点提取、时间轴构建、量纲衔接和模型首步计算的完整过程。</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公共网络中的Zenodo下载和校园网中的FTP—Zenodo对照均通过完整性核验，共同呈现公共镜像与机构镜像的互补价值。</w:t>
      </w:r>
    </w:p>
    <w:p>
      <w:r>
        <w:rPr>
          <w:rFonts w:ascii="Times New Roman" w:hAnsi="Times New Roman" w:eastAsia="宋体"/>
        </w:rPr>
        <w:t>GriddingMachine、GriddingMachineDatasets、Emerald及研究材料仓库的持续集成工作流连接统一依赖、确定性参考数据和模型接口，使软件更新持续继承本文建立的数据生产、可信分发和模型调用能力。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把这一数据集合扩展为可维护的生命周期框架：共享YAML契约保存异构源数据的处理意图，独立目录与事务缓存连接机构和公共镜像，模型就绪层组织陆面参数与逐时气象驱动。OISST、ELEV/LAI、FTP—Zenodo及US-NR1案例分别从生产、分发和应用层呈现框架能力，使数据产品的生成依据、网络副本、内容摘要与模型字段建立可追踪联系。</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[12]；Pangeo倡导分析就绪、云优化数据以及计算与数据邻近的云原生模式[13]，Pangeo Forge进一步以可复用配方和目录组织分析就绪数据生产[14]。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[14]，本文流程侧重可直接下载的单体NetCDF、离线缓存、完整性落盘和固定模型接口。云优化分块格式适配超大规模近数据计算[13]，ESGF适配CMIP等机构联合治理[12]，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[15]；Pooch以文件名、URL和SHA-256注册表实现远端文件获取、本地缓存和完整性校验[16]；STAC为广泛地理空间资产提供通用元数据结构与查询标准[17]。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[18]；TRUST原则进一步提出透明度、责任、用户关注、可持续性和技术能力[19]。对我国国家科学数据中心的调研也显示，标准化元数据、持久标识与清晰的数据使用信息是提升科学数据复用水平的重要环节[20]。</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数据贡献模板、规则网格索引、陆面状态分流、参数融合及气象驱动组织共同构成数据产品与地球系统模型之间的轻量中间层。真实案例推动模型就绪层形成覆盖字段、形状、时间轴和量纲关系的质量契约，并为多区域、多年份、长期积分及多模型适配提供可复用的数据入口。</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可信分发基础设施。海温产品生产、双镜像分发以及陆面—气象参数联合组织共同体现框架对全球规则网格数据的贯通能力；ERA5案例进一步贯通真实逐时气象产品的格点读取、时间组织、量纲适配和模型调用，为多区域、多时段产品及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，标准NetCDF产品通过项目镜像提供。GriddingMachine.jl和GriddingMachineDatasets的论文对应代码固定于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