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面向地球系统模型的全球网格数据生产与可信分发：GriddingMachine框架更新与应用</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多源全球网格数据在维度结构、坐标方向、数值缩放、缺失值处理和分发位置等方面具有显著差异，对地球系统模型输入的标准化生产与稳定获取提出了统一化需求。本文在2022版GriddingMachine基础上构建贯通数据生产、质量控制、多镜像分发、统一读取和模型调用的数据生命周期框架。新版以共享配置规范（schema）和YAML驱动源维度映射、坐标转换、数值变换与缺失值填补（Gapfill），采用独立目录管理逻辑路径、镜像地址及完整性元数据，通过直接NetCDF和事务式缓存实现可信获取。应用端进一步提供标签驱动的标准网格数据访问、格点尺度陆面参数融合与气象驱动组织，实现标准产品向模型就绪输入的转换。NOAA最优插值海表温度（OISST）V2.1产品由四维源结构转换为1440×720标准网格，691 150个有效格点与独立参考逐点一致；两个内部压缩产品采用直接NetCDF后，缓存预热的端到端中位时间在两个独立运行环境中分别降低48.3%～82.9%和53.6%～69.2%；校园网内4个代表性产品经FTP和Zenodo完成24次下载，文件大小与SHA-256均与目录登记值一致；14类陆面产品生成US-NR1参数字典并进入Emerald模型初始化。新版GriddingMachine由此形成面向全球规则网格数据的可配置生产、可信分发和模型就绪应用框架，为地球系统数据产品的持续维护与复用提供轻量化基础设施。</w:t>
      </w:r>
    </w:p>
    <w:p>
      <w:r>
        <w:rPr>
          <w:rFonts w:ascii="Times New Roman" w:hAnsi="Times New Roman" w:eastAsia="宋体"/>
          <w:b/>
        </w:rPr>
        <w:t>关键词：</w:t>
      </w:r>
      <w:r>
        <w:rPr>
          <w:rFonts w:ascii="Times New Roman" w:hAnsi="Times New Roman" w:eastAsia="宋体"/>
        </w:rPr>
        <w:t xml:space="preserve"> 地球系统模型；全球网格数据；数据生命周期；NetCDF；可信分发；数据完整性</w:t>
      </w:r>
    </w:p>
    <w:p>
      <w:r>
        <w:rPr>
          <w:rFonts w:ascii="Times New Roman" w:hAnsi="Times New Roman" w:eastAsia="宋体"/>
          <w:b/>
        </w:rPr>
        <w:t>Production and Trustworthy Distribution of Global Gridded Data for Earth System Models: Framework Advances and Applications of GriddingMachine</w:t>
      </w:r>
    </w:p>
    <w:p>
      <w:r>
        <w:rPr>
          <w:rFonts w:ascii="Times New Roman" w:hAnsi="Times New Roman" w:eastAsia="宋体"/>
          <w:b/>
        </w:rPr>
        <w:t>Hao JIANG^1, Yujie WANG^1\</w:t>
      </w:r>
      <w:r>
        <w:rPr>
          <w:rFonts w:ascii="Times New Roman" w:hAnsi="Times New Roman" w:eastAsia="宋体"/>
        </w:rPr>
        <w:t>*</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Multi-source global gridded data differ substantially in dimensional structure, coordinate orientation, numerical scaling, missing-value treatment, and distribution location, creating a demand for standardized production and reliable access to Earth system model inputs. Building on the 2022 release, this study develops GriddingMachine as an integrated lifecycle framework for data production, quality control, multi-mirror distribution, unified reading, and model use. A shared schema and YAML configuration drive source-dimension mapping, coordinate and numerical transformations, and gap filling; an independent catalog manages logical paths, mirrors, and integrity metadata; and direct NetCDF with transactional caching supports verified acquisition. The application layer further provides tag-based access to standardized gridded data, grid-scale synthesis of land parameters, and assembly of meteorological forcing, converting standardized products into model-ready inputs. A NOAA Optimum Interpolation Sea Surface Temperature (OISST) V2.1 product was transformed from a four-dimensional source structure to a standardized 1440 × 720 grid, with 691,150 finite cells matching an independently decoded reference point by point. Direct NetCDF reduced median warm-cache end-to-end time for two internally compressed products by 48.3%–82.9% and 53.6%–69.2% in two independent runtime environments. Four representative products were downloaded 24 times from FTP and Zenodo on the campus network, with file sizes and SHA-256 digests matching their catalog records. Fourteen land products generated a parameter dictionary for US-NR1 and entered Emerald model initialization. The updated GriddingMachine provides a lightweight infrastructure for configurable production, integrity-aware distribution, and model-ready use of global regular-grid data.</w:t>
      </w:r>
    </w:p>
    <w:p>
      <w:r>
        <w:rPr>
          <w:rFonts w:ascii="Times New Roman" w:hAnsi="Times New Roman" w:eastAsia="宋体"/>
          <w:b/>
        </w:rPr>
        <w:t>Keywords:</w:t>
      </w:r>
      <w:r>
        <w:rPr>
          <w:rFonts w:ascii="Times New Roman" w:hAnsi="Times New Roman" w:eastAsia="宋体"/>
        </w:rPr>
        <w:t xml:space="preserve"> Earth system modeling; global gridded data; data lifecycle; NetCDF; trustworthy distribution; data integrity</w:t>
      </w:r>
    </w:p>
    <w:p>
      <w:pPr>
        <w:pStyle w:val="Heading1"/>
      </w:pPr>
      <w:r>
        <w:rPr>
          <w:rFonts w:ascii="Times New Roman" w:hAnsi="Times New Roman" w:eastAsia="宋体"/>
        </w:rPr>
        <w:t>1 引言</w:t>
      </w:r>
    </w:p>
    <w:p>
      <w:r>
        <w:rPr>
          <w:rFonts w:ascii="Times New Roman" w:hAnsi="Times New Roman" w:eastAsia="宋体"/>
        </w:rPr>
        <w:t>地球系统模型正在以更高的空间分辨率和更精细的过程表达描述陆地、大气、海洋及其相互作用。模型复杂度的提升使参数化、初始条件、边界条件、气象驱动和结果评估越来越依赖多源全球网格数据。此类数据通常由多个研究团队和业务机构生产，呈现多样的文件格式、空间投影、维度顺序、经纬度方向、时间组织、单位、缩放方式、缺失值表示和元数据结构。研究人员需要串联数据发现、下载、重投影、重排、缩放、质量检查和模型接口适配，进而把“可获得的数据”转化为可稳定、正确且可重复调用的模型输入。</w:t>
      </w:r>
    </w:p>
    <w:p>
      <w:r>
        <w:rPr>
          <w:rFonts w:ascii="Times New Roman" w:hAnsi="Times New Roman" w:eastAsia="宋体"/>
        </w:rPr>
        <w:t>科学数据管理正在由单纯的数据公开转向强调可发现、可获取、可互操作和可复用的 FAIR 原则[1]。NetCDF 具有自描述、跨平台和适合多维数组等特点，已广泛用于地球科学数据交换；CF 元数据约定进一步通过坐标、物理量、单位和时空属性描述促进不同数据源之间的解释与处理[2]。Google Earth Engine 等云平台显著提升了大尺度遥感数据的访问和分析能力[3]。机构服务器、团队存储和云平台共同构成当前地学数据分发生态，其中离线使用、固定版本和模型直接调用等场景尤其需要统一格式、独立目录、稳定镜像和可复现转换流程。</w:t>
      </w:r>
    </w:p>
    <w:p>
      <w:r>
        <w:rPr>
          <w:rFonts w:ascii="Times New Roman" w:hAnsi="Times New Roman" w:eastAsia="宋体"/>
        </w:rPr>
        <w:t>王玉杰等[4]于2022年提出GriddingMachine，将常用于陆面和地球系统模拟的全球数据处理为具有统一空间和变量约定的NetCDF文件，并通过标签、</w:t>
      </w:r>
      <w:r>
        <w:rPr>
          <w:rFonts w:ascii="Consolas" w:hAnsi="Consolas" w:eastAsia="等线"/>
        </w:rPr>
        <w:t>Artifacts.toml</w:t>
      </w:r>
      <w:r>
        <w:rPr>
          <w:rFonts w:ascii="Times New Roman" w:hAnsi="Times New Roman" w:eastAsia="宋体"/>
        </w:rPr>
        <w:t>和Julia artifact机制实现数据管理和自动下载，同时提供Julia、MATLAB、Octave、Python和R接口。旧版目录已经记录SHA-1、SHA-256和一个或多个下载URL，数据标准也已规定经纬度方向、空间分辨率、变量名称、缺失值、单位、引用信息和处理日志。</w:t>
      </w:r>
    </w:p>
    <w:p>
      <w:r>
        <w:rPr>
          <w:rFonts w:ascii="Times New Roman" w:hAnsi="Times New Roman" w:eastAsia="宋体"/>
        </w:rPr>
        <w:t>本文以这些既有设计为基础，将数据源专用处理提升为共享、可复用的生产契约，使数据目录具备独立演化能力，以事务缓存支持直接NetCDF获取，并通过统一接口组织模型输入。旧版</w:t>
      </w:r>
      <w:r>
        <w:rPr>
          <w:rFonts w:ascii="Consolas" w:hAnsi="Consolas" w:eastAsia="等线"/>
        </w:rPr>
        <w:t>tar.gz</w:t>
      </w:r>
      <w:r>
        <w:rPr>
          <w:rFonts w:ascii="Times New Roman" w:hAnsi="Times New Roman" w:eastAsia="宋体"/>
        </w:rPr>
        <w:t>分发单元和随软件发布更新的目录为生命周期升级提供了明确基线。</w:t>
      </w:r>
    </w:p>
    <w:p>
      <w:r>
        <w:rPr>
          <w:rFonts w:ascii="Times New Roman" w:hAnsi="Times New Roman" w:eastAsia="宋体"/>
        </w:rPr>
        <w:t>从相关技术体系看，NetCDF以维度、变量和属性构成机器无关的多维科学数据抽象[5]，地球系统数据立方体则强调对多变量时空数据的共同组织和分析[6]；Julia通过多重派发和专业化兼顾高层抽象与科学计算性能[7]。与此同时，软件引用原则要求科研软件具有可识别、可持续、可访问和可归属的版本记录[8]。这些工作分别支撑文件表达、多变量分析、计算实现和软件引用；本文进一步把相关能力连接为“异构数据生产—多镜像分发—内容完整性保障—模型输入组织”的领域闭环。</w:t>
      </w:r>
    </w:p>
    <w:p>
      <w:r>
        <w:rPr>
          <w:rFonts w:ascii="Times New Roman" w:hAnsi="Times New Roman" w:eastAsia="宋体"/>
        </w:rPr>
        <w:t>本研究将GriddingMachine由标准数据集合与标签化访问工具扩展为面向全球规则网格数据的可执行生命周期框架。其核心推进体现在三个相互衔接的层面：生产端以共享YAML契约统一表达源维度、坐标、数值变换、Gapfill和质量控制，形成可复用的标准NetCDF生产流程；分发端以独立目录连接机构FTP、Zenodo及其他社区镜像，并通过直接NetCDF、事务式缓存和</w:t>
      </w:r>
      <w:r>
        <w:rPr>
          <w:rFonts w:ascii="Consolas" w:hAnsi="Consolas" w:eastAsia="等线"/>
        </w:rPr>
        <w:t>SIZE/SHA256</w:t>
      </w:r>
      <w:r>
        <w:rPr>
          <w:rFonts w:ascii="Times New Roman" w:hAnsi="Times New Roman" w:eastAsia="宋体"/>
        </w:rPr>
        <w:t>构建内容一致的可信分发链；应用端以统一读取和模型输入组织连接标准数据产品与Emerald。</w:t>
      </w:r>
    </w:p>
    <w:p>
      <w:r>
        <w:rPr>
          <w:rFonts w:ascii="Times New Roman" w:hAnsi="Times New Roman" w:eastAsia="宋体"/>
        </w:rPr>
        <w:t>本文通过OISST产品转换、高程（ELEV）与叶面积指数（LAI）产品分发效率、FTP—Zenodo镜像访问和由14类土壤、植被、地形及陆地掩膜产品组成的陆面参数集合应用，分别呈现该框架的标准化正确性、数据获取效率、内容完整性和模型适配能力。</w:t>
      </w:r>
    </w:p>
    <w:p>
      <w:pPr>
        <w:pStyle w:val="Heading1"/>
      </w:pPr>
      <w:r>
        <w:rPr>
          <w:rFonts w:ascii="Times New Roman" w:hAnsi="Times New Roman" w:eastAsia="宋体"/>
        </w:rPr>
        <w:t>2 框架设计与关键方法</w:t>
      </w:r>
    </w:p>
    <w:p>
      <w:pPr>
        <w:pStyle w:val="Heading2"/>
      </w:pPr>
      <w:r>
        <w:rPr>
          <w:rFonts w:ascii="Times New Roman" w:hAnsi="Times New Roman" w:eastAsia="宋体"/>
        </w:rPr>
        <w:t>2.1 总体架构与数据生命周期</w:t>
      </w:r>
    </w:p>
    <w:p>
      <w:r>
        <w:rPr>
          <w:rFonts w:ascii="Times New Roman" w:hAnsi="Times New Roman" w:eastAsia="宋体"/>
        </w:rPr>
        <w:t xml:space="preserve">GriddingMachine 新版由数据生产、目录与分发、数据使用三个相互衔接的部分组成（图1）。数据生产端由 </w:t>
      </w:r>
      <w:r>
        <w:rPr>
          <w:rFonts w:ascii="Consolas" w:hAnsi="Consolas" w:eastAsia="等线"/>
        </w:rPr>
        <w:t>GriddingMachineDatasets</w:t>
      </w:r>
      <w:r>
        <w:rPr>
          <w:rFonts w:ascii="Times New Roman" w:hAnsi="Times New Roman" w:eastAsia="宋体"/>
        </w:rPr>
        <w:t xml:space="preserve"> 承担，负责把来源、结构和数值约定不同的地学数据转换为满足 GriddingMachine 规范的 NetCDF 产品；目录与分发部分负责保存标准数据产品、维护标签与镜像地址之间的映射，并使数据目录能够独立于 </w:t>
      </w:r>
      <w:r>
        <w:rPr>
          <w:rFonts w:ascii="Consolas" w:hAnsi="Consolas" w:eastAsia="等线"/>
        </w:rPr>
        <w:t>GriddingMachine.jl</w:t>
      </w:r>
      <w:r>
        <w:rPr>
          <w:rFonts w:ascii="Times New Roman" w:hAnsi="Times New Roman" w:eastAsia="宋体"/>
        </w:rPr>
        <w:t xml:space="preserve"> 软件包版本更新；数据使用端由 </w:t>
      </w:r>
      <w:r>
        <w:rPr>
          <w:rFonts w:ascii="Consolas" w:hAnsi="Consolas" w:eastAsia="等线"/>
        </w:rPr>
        <w:t>GriddingMachine.jl</w:t>
      </w:r>
      <w:r>
        <w:rPr>
          <w:rFonts w:ascii="Times New Roman" w:hAnsi="Times New Roman" w:eastAsia="宋体"/>
        </w:rPr>
        <w:t xml:space="preserve"> 承担，负责数据发现、下载、落盘、读取以及向地球系统模型提供参数和气象驱动。三部分共同形成“生产—质控—发布—发现—下载—读取—模型调用”的数据生命周期。</w:t>
      </w:r>
    </w:p>
    <w:p>
      <w:pPr>
        <w:jc w:val="center"/>
      </w:pPr>
      <w:r>
        <w:drawing>
          <wp:inline xmlns:a="http://schemas.openxmlformats.org/drawingml/2006/main" xmlns:pic="http://schemas.openxmlformats.org/drawingml/2006/picture">
            <wp:extent cx="5400000" cy="30375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7500"/>
                    </a:xfrm>
                    <a:prstGeom prst="rect"/>
                  </pic:spPr>
                </pic:pic>
              </a:graphicData>
            </a:graphic>
          </wp:inline>
        </w:drawing>
      </w:r>
    </w:p>
    <w:p>
      <w:pPr>
        <w:ind w:firstLine="0"/>
      </w:pPr>
      <w:r>
        <w:rPr>
          <w:rFonts w:ascii="Times New Roman" w:hAnsi="Times New Roman" w:eastAsia="宋体"/>
          <w:b/>
        </w:rPr>
        <w:t>图1 GriddingMachine从2022版基线到新版端到端工作流的架构更新</w:t>
      </w:r>
      <w:r>
        <w:rPr>
          <w:rFonts w:ascii="Times New Roman" w:hAnsi="Times New Roman" w:eastAsia="宋体"/>
        </w:rPr>
        <w:t xml:space="preserve"> （a）2022版以数据集专用脚本、</w:t>
      </w:r>
      <w:r>
        <w:rPr>
          <w:rFonts w:ascii="Consolas" w:hAnsi="Consolas" w:eastAsia="等线"/>
        </w:rPr>
        <w:t>tar.gz</w:t>
      </w:r>
      <w:r>
        <w:rPr>
          <w:rFonts w:ascii="Times New Roman" w:hAnsi="Times New Roman" w:eastAsia="宋体"/>
        </w:rPr>
        <w:t>制品、包内数据目录和</w:t>
      </w:r>
      <w:r>
        <w:rPr>
          <w:rFonts w:ascii="Consolas" w:hAnsi="Consolas" w:eastAsia="等线"/>
        </w:rPr>
        <w:t>read_LUT</w:t>
      </w:r>
      <w:r>
        <w:rPr>
          <w:rFonts w:ascii="Times New Roman" w:hAnsi="Times New Roman" w:eastAsia="宋体"/>
        </w:rPr>
        <w:t>构成数据预处理、分发与读取路径；（b）新版以共享YAML契约连接异构源数据、标准化与质量控制、标准NetCDF产品、独立数据目录、事务式获取以及统一读取和模型调用，形成贯通数据生产、可信分发与模型应用的端到端工作流；（c）O1—O5依次表示统一数据契约、简化数据制品、目录独立演化、事务式下载和模型就绪接口。橙色虚线标示各项更新相对于2022版基线及新版核心节点的对应关系。</w:t>
      </w:r>
    </w:p>
    <w:p>
      <w:pPr>
        <w:ind w:firstLine="0"/>
      </w:pPr>
      <w:r>
        <w:rPr>
          <w:rFonts w:ascii="Times New Roman" w:hAnsi="Times New Roman" w:eastAsia="宋体"/>
          <w:b/>
        </w:rPr>
        <w:t>Fig. 1 Architectural updates from the 2022 GriddingMachine baseline to the updated end-to-end workflow.</w:t>
      </w:r>
      <w:r>
        <w:rPr>
          <w:rFonts w:ascii="Times New Roman" w:hAnsi="Times New Roman" w:eastAsia="宋体"/>
        </w:rPr>
        <w:t xml:space="preserve"> (a) The 2022 release connected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xml:space="preserve"> across data preprocessing, distribution, and access. (b) The updated workflow uses a shared YAML contract to connect heterogeneous source data, standardization and quality control, standard NetCDF products, an independent catalog, transactional acquisition, and unified reading and model invocation, thereby integrating data production, trusted distribution, and model application. (c) O1--O5 denote the unified data contract, simplified data artifacts, independent catalog evolution, transactional downloads, and model-ready interfaces. Orange dashed lines map these updates to the corresponding baseline components and core nodes in the updated workflow.</w:t>
      </w:r>
    </w:p>
    <w:p>
      <w:r>
        <w:rPr>
          <w:rFonts w:ascii="Times New Roman" w:hAnsi="Times New Roman" w:eastAsia="宋体"/>
        </w:rPr>
        <w:t>在生产端，原始数据及其处理规则分别作为数据输入和YAML配置输入。新版使用共享schema描述原始文件组合、源变量、经纬度方向、源维度语义、数值变换、有效范围、Gapfill及输出元数据；配置构建器与处理流水线调用同一schema。生产引擎依据配置枚举输入，依次完成读取、标准化、质量控制和保存，最终生成以统一标签命名的NetCDF产品。维度、坐标、数值和空间方向检查嵌入生产流程，使标准产品在生成阶段即具有清晰的数据语义。</w:t>
      </w:r>
    </w:p>
    <w:p>
      <w:r>
        <w:rPr>
          <w:rFonts w:ascii="Times New Roman" w:hAnsi="Times New Roman" w:eastAsia="宋体"/>
        </w:rPr>
        <w:t>通过质量控制的数据产品可发布到机构FTP、HTTP(S)服务或Zenodo等公共存储位置。同一标签可对应多个内容相同的网络副本，本文将其称为多镜像分发。独立数据目录登记相对路径、镜像地址、文件字节数和SHA-256；目录生成过程从权威标准文件计算完整性元数据并以事务方式写入YAML。目录与访问软件分开维护，使数据产品列表及其分发位置能够独立演化。</w:t>
      </w:r>
    </w:p>
    <w:p>
      <w:r>
        <w:rPr>
          <w:rFonts w:ascii="Times New Roman" w:hAnsi="Times New Roman" w:eastAsia="宋体"/>
        </w:rPr>
        <w:t>在数据使用端，目录管理模块显式设置数据根目录与目录来源。目录更新经临时文件完成schema校验和事务式替换，并保留上一有效版本。产品获取模块提取各镜像地址的主机名，以可获得的平均往返延迟辅助确定候选顺序，同时保留全部镜像并依次回退。每次传输创建独立临时文件，文件通过字节数和SHA-256核验后进入正式数据目录。本文所称“可信分发”即由版本化目录、等价镜像、事务落盘和内容完整性校验共同构成的获取机制。</w:t>
      </w:r>
    </w:p>
    <w:p>
      <w:r>
        <w:rPr>
          <w:rFonts w:ascii="Times New Roman" w:hAnsi="Times New Roman" w:eastAsia="宋体"/>
        </w:rPr>
        <w:t>数据读取层提供标签驱动的整场、指定周期及站点读取，并进一步完成格点尺度陆面参数融合与气象驱动组织。由14类产品组成的第二套陆面参数集合（代码标识为</w:t>
      </w:r>
      <w:r>
        <w:rPr>
          <w:rFonts w:ascii="Consolas" w:hAnsi="Consolas" w:eastAsia="等线"/>
        </w:rPr>
        <w:t>gm2</w:t>
      </w:r>
      <w:r>
        <w:rPr>
          <w:rFonts w:ascii="Times New Roman" w:hAnsi="Times New Roman" w:eastAsia="宋体"/>
        </w:rPr>
        <w:t>）贯通参数组织链路并进入Emerald初始化，使可信分发的数据产品直接进入模型应用。</w:t>
      </w:r>
    </w:p>
    <w:p>
      <w:r>
        <w:rPr>
          <w:rFonts w:ascii="Times New Roman" w:hAnsi="Times New Roman" w:eastAsia="宋体"/>
        </w:rPr>
        <w:t>共享YAML、独立目录与统一读取接口共同改变了GriddingMachine的维护单元：数据处理规则由配置契约表达，数据产品与镜像由目录版本管理，模型应用继续使用稳定标签。数据产品、分发目录和访问软件由此能够在保持接口一致的条件下分别演化，形成贯通生产、发布和应用的可维护数据生命周期。</w:t>
      </w:r>
    </w:p>
    <w:p>
      <w:r>
        <w:rPr>
          <w:rFonts w:ascii="Times New Roman" w:hAnsi="Times New Roman" w:eastAsia="宋体"/>
        </w:rPr>
        <w:t>表1概括2022版与新版的主要差异及其在数据生命周期中的作用。</w:t>
      </w:r>
    </w:p>
    <w:p>
      <w:pPr>
        <w:ind w:firstLine="0"/>
      </w:pPr>
      <w:r>
        <w:rPr>
          <w:rFonts w:ascii="Times New Roman" w:hAnsi="Times New Roman" w:eastAsia="宋体"/>
          <w:b/>
        </w:rPr>
        <w:t>表1 2022版与新版GriddingMachine的功能和技术路线比较</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2022版</w:t>
            </w:r>
          </w:p>
        </w:tc>
        <w:tc>
          <w:tcPr>
            <w:tcW w:type="dxa" w:w="2295"/>
            <w:shd w:fill="D9EAF7"/>
          </w:tcPr>
          <w:p>
            <w:r>
              <w:rPr>
                <w:b/>
                <w:sz w:val="18"/>
              </w:rPr>
            </w:r>
            <w:r>
              <w:rPr>
                <w:rFonts w:ascii="Times New Roman" w:hAnsi="Times New Roman" w:eastAsia="宋体"/>
                <w:b/>
                <w:sz w:val="18"/>
              </w:rPr>
              <w:t>新版</w:t>
            </w:r>
          </w:p>
        </w:tc>
        <w:tc>
          <w:tcPr>
            <w:tcW w:type="dxa" w:w="2295"/>
            <w:shd w:fill="D9EAF7"/>
          </w:tcPr>
          <w:p>
            <w:r>
              <w:rPr>
                <w:b/>
                <w:sz w:val="18"/>
              </w:rPr>
            </w:r>
            <w:r>
              <w:rPr>
                <w:rFonts w:ascii="Times New Roman" w:hAnsi="Times New Roman" w:eastAsia="宋体"/>
                <w:b/>
                <w:sz w:val="18"/>
              </w:rPr>
              <w:t>应用价值</w:t>
            </w:r>
          </w:p>
        </w:tc>
      </w:tr>
      <w:tr>
        <w:tc>
          <w:tcPr>
            <w:tcW w:type="dxa" w:w="2295"/>
          </w:tcPr>
          <w:p>
            <w:r>
              <w:rPr>
                <w:sz w:val="18"/>
              </w:rPr>
            </w:r>
            <w:r>
              <w:rPr>
                <w:rFonts w:ascii="Times New Roman" w:hAnsi="Times New Roman" w:eastAsia="宋体"/>
                <w:sz w:val="18"/>
              </w:rPr>
              <w:t>分发单元</w:t>
            </w:r>
          </w:p>
        </w:tc>
        <w:tc>
          <w:tcPr>
            <w:tcW w:type="dxa" w:w="2295"/>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95"/>
          </w:tcPr>
          <w:p>
            <w:r>
              <w:rPr>
                <w:sz w:val="18"/>
              </w:rPr>
            </w:r>
            <w:r>
              <w:rPr>
                <w:rFonts w:ascii="Times New Roman" w:hAnsi="Times New Roman" w:eastAsia="宋体"/>
                <w:sz w:val="18"/>
              </w:rPr>
              <w:t>可直接读取的</w:t>
            </w:r>
            <w:r>
              <w:rPr>
                <w:rFonts w:ascii="Consolas" w:hAnsi="Consolas" w:eastAsia="等线"/>
                <w:sz w:val="18"/>
              </w:rPr>
              <w:t>.nc</w:t>
            </w:r>
          </w:p>
        </w:tc>
        <w:tc>
          <w:tcPr>
            <w:tcW w:type="dxa" w:w="2295"/>
          </w:tcPr>
          <w:p>
            <w:r>
              <w:rPr>
                <w:sz w:val="18"/>
              </w:rPr>
            </w:r>
            <w:r>
              <w:rPr>
                <w:rFonts w:ascii="Times New Roman" w:hAnsi="Times New Roman" w:eastAsia="宋体"/>
                <w:sz w:val="18"/>
              </w:rPr>
              <w:t>简化数据获取并降低端到端读取时间</w:t>
            </w:r>
          </w:p>
        </w:tc>
      </w:tr>
      <w:tr>
        <w:tc>
          <w:tcPr>
            <w:tcW w:type="dxa" w:w="2295"/>
          </w:tcPr>
          <w:p>
            <w:r>
              <w:rPr>
                <w:sz w:val="18"/>
              </w:rPr>
            </w:r>
            <w:r>
              <w:rPr>
                <w:rFonts w:ascii="Times New Roman" w:hAnsi="Times New Roman" w:eastAsia="宋体"/>
                <w:sz w:val="18"/>
              </w:rPr>
              <w:t>数据目录</w:t>
            </w:r>
          </w:p>
        </w:tc>
        <w:tc>
          <w:tcPr>
            <w:tcW w:type="dxa" w:w="2295"/>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95"/>
          </w:tcPr>
          <w:p>
            <w:r>
              <w:rPr>
                <w:sz w:val="18"/>
              </w:rPr>
            </w:r>
            <w:r>
              <w:rPr>
                <w:rFonts w:ascii="Times New Roman" w:hAnsi="Times New Roman" w:eastAsia="宋体"/>
                <w:sz w:val="18"/>
              </w:rPr>
              <w:t>独立</w:t>
            </w:r>
            <w:r>
              <w:rPr>
                <w:rFonts w:ascii="Consolas" w:hAnsi="Consolas" w:eastAsia="等线"/>
                <w:sz w:val="18"/>
              </w:rPr>
              <w:t>Artifacts.yaml</w:t>
            </w:r>
            <w:r>
              <w:rPr>
                <w:rFonts w:ascii="Times New Roman" w:hAnsi="Times New Roman" w:eastAsia="宋体"/>
                <w:sz w:val="18"/>
              </w:rPr>
              <w:t>；schema校验、事务更新和版本备份</w:t>
            </w:r>
          </w:p>
        </w:tc>
        <w:tc>
          <w:tcPr>
            <w:tcW w:type="dxa" w:w="2295"/>
          </w:tcPr>
          <w:p>
            <w:r>
              <w:rPr>
                <w:sz w:val="18"/>
              </w:rPr>
            </w:r>
            <w:r>
              <w:rPr>
                <w:rFonts w:ascii="Times New Roman" w:hAnsi="Times New Roman" w:eastAsia="宋体"/>
                <w:sz w:val="18"/>
              </w:rPr>
              <w:t>数据产品可独立于软件版本持续扩展</w:t>
            </w:r>
          </w:p>
        </w:tc>
      </w:tr>
      <w:tr>
        <w:tc>
          <w:tcPr>
            <w:tcW w:type="dxa" w:w="2295"/>
          </w:tcPr>
          <w:p>
            <w:r>
              <w:rPr>
                <w:sz w:val="18"/>
              </w:rPr>
            </w:r>
            <w:r>
              <w:rPr>
                <w:rFonts w:ascii="Times New Roman" w:hAnsi="Times New Roman" w:eastAsia="宋体"/>
                <w:sz w:val="18"/>
              </w:rPr>
              <w:t>下载</w:t>
            </w:r>
          </w:p>
        </w:tc>
        <w:tc>
          <w:tcPr>
            <w:tcW w:type="dxa" w:w="2295"/>
          </w:tcPr>
          <w:p>
            <w:r>
              <w:rPr>
                <w:sz w:val="18"/>
              </w:rPr>
            </w:r>
            <w:r>
              <w:rPr>
                <w:rFonts w:ascii="Times New Roman" w:hAnsi="Times New Roman" w:eastAsia="宋体"/>
                <w:sz w:val="18"/>
              </w:rPr>
              <w:t>artifact哈希寻址、多个URL和解包</w:t>
            </w:r>
          </w:p>
        </w:tc>
        <w:tc>
          <w:tcPr>
            <w:tcW w:type="dxa" w:w="2295"/>
          </w:tcPr>
          <w:p>
            <w:r>
              <w:rPr>
                <w:sz w:val="18"/>
              </w:rPr>
            </w:r>
            <w:r>
              <w:rPr>
                <w:rFonts w:ascii="Times New Roman" w:hAnsi="Times New Roman" w:eastAsia="宋体"/>
                <w:sz w:val="18"/>
              </w:rPr>
              <w:t>延迟探测辅助排序；多URL回退、独立缓存及</w:t>
            </w:r>
            <w:r>
              <w:rPr>
                <w:rFonts w:ascii="Consolas" w:hAnsi="Consolas" w:eastAsia="等线"/>
                <w:sz w:val="18"/>
              </w:rPr>
              <w:t>SIZE/SHA256</w:t>
            </w:r>
            <w:r>
              <w:rPr>
                <w:rFonts w:ascii="Times New Roman" w:hAnsi="Times New Roman" w:eastAsia="宋体"/>
                <w:sz w:val="18"/>
              </w:rPr>
              <w:t>校验后落盘</w:t>
            </w:r>
          </w:p>
        </w:tc>
        <w:tc>
          <w:tcPr>
            <w:tcW w:type="dxa" w:w="2295"/>
          </w:tcPr>
          <w:p>
            <w:r>
              <w:rPr>
                <w:sz w:val="18"/>
              </w:rPr>
            </w:r>
            <w:r>
              <w:rPr>
                <w:rFonts w:ascii="Times New Roman" w:hAnsi="Times New Roman" w:eastAsia="宋体"/>
                <w:sz w:val="18"/>
              </w:rPr>
              <w:t>兼顾机构镜像速度、公共镜像可达性和内容完整性</w:t>
            </w:r>
          </w:p>
        </w:tc>
      </w:tr>
      <w:tr>
        <w:tc>
          <w:tcPr>
            <w:tcW w:type="dxa" w:w="2295"/>
          </w:tcPr>
          <w:p>
            <w:r>
              <w:rPr>
                <w:sz w:val="18"/>
              </w:rPr>
            </w:r>
            <w:r>
              <w:rPr>
                <w:rFonts w:ascii="Times New Roman" w:hAnsi="Times New Roman" w:eastAsia="宋体"/>
                <w:sz w:val="18"/>
              </w:rPr>
              <w:t>读取</w:t>
            </w:r>
          </w:p>
        </w:tc>
        <w:tc>
          <w:tcPr>
            <w:tcW w:type="dxa" w:w="2295"/>
          </w:tcPr>
          <w:p>
            <w:r>
              <w:rPr>
                <w:sz w:val="18"/>
              </w:rPr>
            </w:r>
            <w:r>
              <w:rPr>
                <w:rFonts w:ascii="Consolas" w:hAnsi="Consolas" w:eastAsia="等线"/>
                <w:sz w:val="18"/>
              </w:rPr>
              <w:t>read_LUT</w:t>
            </w:r>
          </w:p>
        </w:tc>
        <w:tc>
          <w:tcPr>
            <w:tcW w:type="dxa" w:w="2295"/>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95"/>
          </w:tcPr>
          <w:p>
            <w:r>
              <w:rPr>
                <w:sz w:val="18"/>
              </w:rPr>
            </w:r>
            <w:r>
              <w:rPr>
                <w:rFonts w:ascii="Times New Roman" w:hAnsi="Times New Roman" w:eastAsia="宋体"/>
                <w:sz w:val="18"/>
              </w:rPr>
              <w:t>全球规则经纬网整场、周期和站点读取</w:t>
            </w:r>
          </w:p>
        </w:tc>
      </w:tr>
      <w:tr>
        <w:tc>
          <w:tcPr>
            <w:tcW w:type="dxa" w:w="2295"/>
          </w:tcPr>
          <w:p>
            <w:r>
              <w:rPr>
                <w:sz w:val="18"/>
              </w:rPr>
            </w:r>
            <w:r>
              <w:rPr>
                <w:rFonts w:ascii="Times New Roman" w:hAnsi="Times New Roman" w:eastAsia="宋体"/>
                <w:sz w:val="18"/>
              </w:rPr>
              <w:t>模型组织</w:t>
            </w:r>
          </w:p>
        </w:tc>
        <w:tc>
          <w:tcPr>
            <w:tcW w:type="dxa" w:w="2295"/>
          </w:tcPr>
          <w:p>
            <w:r>
              <w:rPr>
                <w:sz w:val="18"/>
              </w:rPr>
            </w:r>
            <w:r>
              <w:rPr>
                <w:rFonts w:ascii="Times New Roman" w:hAnsi="Times New Roman" w:eastAsia="宋体"/>
                <w:sz w:val="18"/>
              </w:rPr>
              <w:t>标准化数据和通用读取</w:t>
            </w:r>
          </w:p>
        </w:tc>
        <w:tc>
          <w:tcPr>
            <w:tcW w:type="dxa" w:w="2295"/>
          </w:tcPr>
          <w:p>
            <w:r>
              <w:rPr>
                <w:sz w:val="18"/>
              </w:rPr>
            </w:r>
            <w:r>
              <w:rPr>
                <w:rFonts w:ascii="Times New Roman" w:hAnsi="Times New Roman" w:eastAsia="宋体"/>
                <w:sz w:val="18"/>
              </w:rPr>
              <w:t>陆面参数融合与气象驱动组织</w:t>
            </w:r>
          </w:p>
        </w:tc>
        <w:tc>
          <w:tcPr>
            <w:tcW w:type="dxa" w:w="2295"/>
          </w:tcPr>
          <w:p>
            <w:r>
              <w:rPr>
                <w:sz w:val="18"/>
              </w:rPr>
            </w:r>
            <w:r>
              <w:rPr>
                <w:rFonts w:ascii="Times New Roman" w:hAnsi="Times New Roman" w:eastAsia="宋体"/>
                <w:sz w:val="18"/>
              </w:rPr>
              <w:t>标准产品进入Emerald参数组织与模型初始化</w:t>
            </w:r>
          </w:p>
        </w:tc>
      </w:tr>
      <w:tr>
        <w:tc>
          <w:tcPr>
            <w:tcW w:type="dxa" w:w="2295"/>
          </w:tcPr>
          <w:p>
            <w:r>
              <w:rPr>
                <w:sz w:val="18"/>
              </w:rPr>
            </w:r>
            <w:r>
              <w:rPr>
                <w:rFonts w:ascii="Times New Roman" w:hAnsi="Times New Roman" w:eastAsia="宋体"/>
                <w:sz w:val="18"/>
              </w:rPr>
              <w:t>数据生产</w:t>
            </w:r>
          </w:p>
        </w:tc>
        <w:tc>
          <w:tcPr>
            <w:tcW w:type="dxa" w:w="2295"/>
          </w:tcPr>
          <w:p>
            <w:r>
              <w:rPr>
                <w:sz w:val="18"/>
              </w:rPr>
            </w:r>
            <w:r>
              <w:rPr>
                <w:rFonts w:ascii="Times New Roman" w:hAnsi="Times New Roman" w:eastAsia="宋体"/>
                <w:sz w:val="18"/>
              </w:rPr>
              <w:t>数据源专用处理及贡献流程</w:t>
            </w:r>
          </w:p>
        </w:tc>
        <w:tc>
          <w:tcPr>
            <w:tcW w:type="dxa" w:w="2295"/>
          </w:tcPr>
          <w:p>
            <w:r>
              <w:rPr>
                <w:sz w:val="18"/>
              </w:rPr>
            </w:r>
            <w:r>
              <w:rPr>
                <w:rFonts w:ascii="Times New Roman" w:hAnsi="Times New Roman" w:eastAsia="宋体"/>
                <w:sz w:val="18"/>
              </w:rPr>
              <w:t>共享YAML schema、程序化与交互式配置生成及显式源维度映射</w:t>
            </w:r>
          </w:p>
        </w:tc>
        <w:tc>
          <w:tcPr>
            <w:tcW w:type="dxa" w:w="2295"/>
          </w:tcPr>
          <w:p>
            <w:r>
              <w:rPr>
                <w:sz w:val="18"/>
              </w:rPr>
            </w:r>
            <w:r>
              <w:rPr>
                <w:rFonts w:ascii="Times New Roman" w:hAnsi="Times New Roman" w:eastAsia="宋体"/>
                <w:sz w:val="18"/>
              </w:rPr>
              <w:t>形成可复用、可扩展的标准产品生产工作流</w:t>
            </w:r>
          </w:p>
        </w:tc>
      </w:tr>
    </w:tbl>
    <w:p>
      <w:pPr>
        <w:ind w:firstLine="0"/>
      </w:pPr>
      <w:r>
        <w:rPr>
          <w:rFonts w:ascii="Times New Roman" w:hAnsi="Times New Roman" w:eastAsia="宋体"/>
          <w:b/>
        </w:rPr>
        <w:t>Table 1 Comparison between the 2022 release and the updated GriddingMachine.</w:t>
      </w:r>
      <w:r>
        <w:rPr>
          <w:rFonts w:ascii="Times New Roman" w:hAnsi="Times New Roman" w:eastAsia="宋体"/>
        </w:rPr>
        <w:t xml:space="preserve"> The table summarizes the implemented mechanisms, workflow advances, and application value across the data lifecycle.</w:t>
      </w:r>
    </w:p>
    <w:p>
      <w:pPr>
        <w:pStyle w:val="Heading2"/>
      </w:pPr>
      <w:r>
        <w:rPr>
          <w:rFonts w:ascii="Times New Roman" w:hAnsi="Times New Roman" w:eastAsia="宋体"/>
        </w:rPr>
        <w:t>2.2 YAML驱动的标准数据生产</w:t>
      </w:r>
    </w:p>
    <w:p>
      <w:pPr>
        <w:pStyle w:val="Heading3"/>
      </w:pPr>
      <w:r>
        <w:rPr>
          <w:rFonts w:ascii="Times New Roman" w:hAnsi="Times New Roman" w:eastAsia="宋体"/>
        </w:rPr>
        <w:t>2.2.1 数据契约与维度映射</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[4]。新版延续这些核心约定，并将源维度映射、处理记录、版本化配置和分发完整性纳入相互衔接的机器可读规范（表2）。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类别</w:t>
            </w:r>
          </w:p>
        </w:tc>
        <w:tc>
          <w:tcPr>
            <w:tcW w:type="dxa" w:w="3060"/>
            <w:shd w:fill="D9EAF7"/>
          </w:tcPr>
          <w:p>
            <w:r>
              <w:rPr>
                <w:b/>
                <w:sz w:val="18"/>
              </w:rPr>
            </w:r>
            <w:r>
              <w:rPr>
                <w:rFonts w:ascii="Times New Roman" w:hAnsi="Times New Roman" w:eastAsia="宋体"/>
                <w:b/>
                <w:sz w:val="18"/>
              </w:rPr>
              <w:t>新版规范</w:t>
            </w:r>
          </w:p>
        </w:tc>
        <w:tc>
          <w:tcPr>
            <w:tcW w:type="dxa" w:w="3060"/>
            <w:shd w:fill="D9EAF7"/>
          </w:tcPr>
          <w:p>
            <w:r>
              <w:rPr>
                <w:b/>
                <w:sz w:val="18"/>
              </w:rPr>
            </w:r>
            <w:r>
              <w:rPr>
                <w:rFonts w:ascii="Times New Roman" w:hAnsi="Times New Roman" w:eastAsia="宋体"/>
                <w:b/>
                <w:sz w:val="18"/>
              </w:rPr>
              <w:t>实现方式</w:t>
            </w:r>
          </w:p>
        </w:tc>
      </w:tr>
      <w:tr>
        <w:tc>
          <w:tcPr>
            <w:tcW w:type="dxa" w:w="3060"/>
          </w:tcPr>
          <w:p>
            <w:r>
              <w:rPr>
                <w:sz w:val="18"/>
              </w:rPr>
            </w:r>
            <w:r>
              <w:rPr>
                <w:rFonts w:ascii="Times New Roman" w:hAnsi="Times New Roman" w:eastAsia="宋体"/>
                <w:sz w:val="18"/>
              </w:rPr>
              <w:t>文件与网格</w:t>
            </w:r>
          </w:p>
        </w:tc>
        <w:tc>
          <w:tcPr>
            <w:tcW w:type="dxa" w:w="3060"/>
          </w:tcPr>
          <w:p>
            <w:r>
              <w:rPr>
                <w:sz w:val="18"/>
              </w:rPr>
            </w:r>
            <w:r>
              <w:rPr>
                <w:rFonts w:ascii="Times New Roman" w:hAnsi="Times New Roman" w:eastAsia="宋体"/>
                <w:sz w:val="18"/>
              </w:rPr>
              <w:t>一个标签对应一个可直接读取的</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3060"/>
          </w:tcPr>
          <w:p>
            <w:r>
              <w:rPr>
                <w:sz w:val="18"/>
              </w:rPr>
            </w:r>
            <w:r>
              <w:rPr>
                <w:rFonts w:ascii="Times New Roman" w:hAnsi="Times New Roman" w:eastAsia="宋体"/>
                <w:sz w:val="18"/>
              </w:rPr>
              <w:t>NetCDF统一保存数据、坐标与自描述元数据</w:t>
            </w:r>
          </w:p>
        </w:tc>
      </w:tr>
      <w:tr>
        <w:tc>
          <w:tcPr>
            <w:tcW w:type="dxa" w:w="3060"/>
          </w:tcPr>
          <w:p>
            <w:r>
              <w:rPr>
                <w:sz w:val="18"/>
              </w:rPr>
            </w:r>
            <w:r>
              <w:rPr>
                <w:rFonts w:ascii="Times New Roman" w:hAnsi="Times New Roman" w:eastAsia="宋体"/>
                <w:sz w:val="18"/>
              </w:rPr>
              <w:t>维度</w:t>
            </w:r>
          </w:p>
        </w:tc>
        <w:tc>
          <w:tcPr>
            <w:tcW w:type="dxa" w:w="3060"/>
          </w:tcPr>
          <w:p>
            <w:r>
              <w:rPr>
                <w:sz w:val="18"/>
              </w:rPr>
            </w:r>
            <w:r>
              <w:rPr>
                <w:rFonts w:ascii="Times New Roman" w:hAnsi="Times New Roman" w:eastAsia="宋体"/>
                <w:sz w:val="18"/>
              </w:rPr>
              <w:t>二维</w:t>
            </w:r>
            <w:r>
              <w:rPr>
                <w:rFonts w:ascii="Consolas" w:hAnsi="Consolas" w:eastAsia="等线"/>
                <w:sz w:val="18"/>
              </w:rPr>
              <w:t>(lon, lat)</w:t>
            </w:r>
            <w:r>
              <w:rPr>
                <w:rFonts w:ascii="Times New Roman" w:hAnsi="Times New Roman" w:eastAsia="宋体"/>
                <w:sz w:val="18"/>
              </w:rPr>
              <w:t>；三维</w:t>
            </w:r>
            <w:r>
              <w:rPr>
                <w:rFonts w:ascii="Consolas" w:hAnsi="Consolas" w:eastAsia="等线"/>
                <w:sz w:val="18"/>
              </w:rPr>
              <w:t>(lon, lat, ind)</w:t>
            </w:r>
            <w:r>
              <w:rPr>
                <w:rFonts w:ascii="Times New Roman" w:hAnsi="Times New Roman" w:eastAsia="宋体"/>
                <w:sz w:val="18"/>
              </w:rPr>
              <w:t>；源维度按名称映射到标准顺序</w:t>
            </w:r>
          </w:p>
        </w:tc>
        <w:tc>
          <w:tcPr>
            <w:tcW w:type="dxa" w:w="3060"/>
          </w:tcPr>
          <w:p>
            <w:r>
              <w:rPr>
                <w:sz w:val="18"/>
              </w:rPr>
            </w:r>
            <w:r>
              <w:rPr>
                <w:rFonts w:ascii="Times New Roman" w:hAnsi="Times New Roman" w:eastAsia="宋体"/>
                <w:sz w:val="18"/>
              </w:rPr>
              <w:t>通用维度映射将多种源排列转换为统一结构</w:t>
            </w:r>
          </w:p>
        </w:tc>
      </w:tr>
      <w:tr>
        <w:tc>
          <w:tcPr>
            <w:tcW w:type="dxa" w:w="3060"/>
          </w:tcPr>
          <w:p>
            <w:r>
              <w:rPr>
                <w:sz w:val="18"/>
              </w:rPr>
            </w:r>
            <w:r>
              <w:rPr>
                <w:rFonts w:ascii="Times New Roman" w:hAnsi="Times New Roman" w:eastAsia="宋体"/>
                <w:sz w:val="18"/>
              </w:rPr>
              <w:t>坐标方向</w:t>
            </w:r>
          </w:p>
        </w:tc>
        <w:tc>
          <w:tcPr>
            <w:tcW w:type="dxa" w:w="3060"/>
          </w:tcPr>
          <w:p>
            <w:r>
              <w:rPr>
                <w:sz w:val="18"/>
              </w:rPr>
            </w:r>
            <w:r>
              <w:rPr>
                <w:rFonts w:ascii="Consolas" w:hAnsi="Consolas" w:eastAsia="等线"/>
                <w:sz w:val="18"/>
              </w:rPr>
              <w:t>lon</w:t>
            </w:r>
            <w:r>
              <w:rPr>
                <w:rFonts w:ascii="Times New Roman" w:hAnsi="Times New Roman" w:eastAsia="宋体"/>
                <w:sz w:val="18"/>
              </w:rPr>
              <w:t>自西向东并统一到</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自南向北</w:t>
            </w:r>
          </w:p>
        </w:tc>
        <w:tc>
          <w:tcPr>
            <w:tcW w:type="dxa" w:w="3060"/>
          </w:tcPr>
          <w:p>
            <w:r>
              <w:rPr>
                <w:sz w:val="18"/>
              </w:rPr>
            </w:r>
            <w:r>
              <w:rPr>
                <w:rFonts w:ascii="Times New Roman" w:hAnsi="Times New Roman" w:eastAsia="宋体"/>
                <w:sz w:val="18"/>
              </w:rPr>
              <w:t>翻转和循环平移保持数据与坐标同步</w:t>
            </w:r>
          </w:p>
        </w:tc>
      </w:tr>
      <w:tr>
        <w:tc>
          <w:tcPr>
            <w:tcW w:type="dxa" w:w="3060"/>
          </w:tcPr>
          <w:p>
            <w:r>
              <w:rPr>
                <w:sz w:val="18"/>
              </w:rPr>
            </w:r>
            <w:r>
              <w:rPr>
                <w:rFonts w:ascii="Times New Roman" w:hAnsi="Times New Roman" w:eastAsia="宋体"/>
                <w:sz w:val="18"/>
              </w:rPr>
              <w:t>数据变量</w:t>
            </w:r>
          </w:p>
        </w:tc>
        <w:tc>
          <w:tcPr>
            <w:tcW w:type="dxa" w:w="3060"/>
          </w:tcPr>
          <w:p>
            <w:r>
              <w:rPr>
                <w:sz w:val="18"/>
              </w:rPr>
            </w:r>
            <w:r>
              <w:rPr>
                <w:rFonts w:ascii="Consolas" w:hAnsi="Consolas" w:eastAsia="等线"/>
                <w:sz w:val="18"/>
              </w:rPr>
              <w:t>data</w:t>
            </w:r>
            <w:r>
              <w:rPr>
                <w:rFonts w:ascii="Times New Roman" w:hAnsi="Times New Roman" w:eastAsia="宋体"/>
                <w:sz w:val="18"/>
              </w:rPr>
              <w:t>为主变量；</w:t>
            </w:r>
            <w:r>
              <w:rPr>
                <w:rFonts w:ascii="Consolas" w:hAnsi="Consolas" w:eastAsia="等线"/>
                <w:sz w:val="18"/>
              </w:rPr>
              <w:t>std</w:t>
            </w:r>
            <w:r>
              <w:rPr>
                <w:rFonts w:ascii="Times New Roman" w:hAnsi="Times New Roman" w:eastAsia="宋体"/>
                <w:sz w:val="18"/>
              </w:rPr>
              <w:t>保存同形不确定性；输出为实际物理值</w:t>
            </w:r>
          </w:p>
        </w:tc>
        <w:tc>
          <w:tcPr>
            <w:tcW w:type="dxa" w:w="3060"/>
          </w:tcPr>
          <w:p>
            <w:r>
              <w:rPr>
                <w:sz w:val="18"/>
              </w:rPr>
            </w:r>
            <w:r>
              <w:rPr>
                <w:rFonts w:ascii="Times New Roman" w:hAnsi="Times New Roman" w:eastAsia="宋体"/>
                <w:sz w:val="18"/>
              </w:rPr>
              <w:t>统一变量命名、类型、单位和数值表达</w:t>
            </w:r>
          </w:p>
        </w:tc>
      </w:tr>
      <w:tr>
        <w:tc>
          <w:tcPr>
            <w:tcW w:type="dxa" w:w="3060"/>
          </w:tcPr>
          <w:p>
            <w:r>
              <w:rPr>
                <w:sz w:val="18"/>
              </w:rPr>
            </w:r>
            <w:r>
              <w:rPr>
                <w:rFonts w:ascii="Times New Roman" w:hAnsi="Times New Roman" w:eastAsia="宋体"/>
                <w:sz w:val="18"/>
              </w:rPr>
              <w:t>Gapfill与范围</w:t>
            </w:r>
          </w:p>
        </w:tc>
        <w:tc>
          <w:tcPr>
            <w:tcW w:type="dxa" w:w="3060"/>
          </w:tcPr>
          <w:p>
            <w:r>
              <w:rPr>
                <w:sz w:val="18"/>
              </w:rPr>
            </w:r>
            <w:r>
              <w:rPr>
                <w:rFonts w:ascii="Times New Roman" w:hAnsi="Times New Roman" w:eastAsia="宋体"/>
                <w:sz w:val="18"/>
              </w:rPr>
              <w:t>有效范围、填充值和Gapfill策略由YAML显式声明</w:t>
            </w:r>
          </w:p>
        </w:tc>
        <w:tc>
          <w:tcPr>
            <w:tcW w:type="dxa" w:w="3060"/>
          </w:tcPr>
          <w:p>
            <w:r>
              <w:rPr>
                <w:sz w:val="18"/>
              </w:rPr>
            </w:r>
            <w:r>
              <w:rPr>
                <w:rFonts w:ascii="Times New Roman" w:hAnsi="Times New Roman" w:eastAsia="宋体"/>
                <w:sz w:val="18"/>
              </w:rPr>
              <w:t>支持数值常数、</w:t>
            </w:r>
            <w:r>
              <w:rPr>
                <w:rFonts w:ascii="Consolas" w:hAnsi="Consolas" w:eastAsia="等线"/>
                <w:sz w:val="18"/>
              </w:rPr>
              <w:t>MEAN</w:t>
            </w:r>
            <w:r>
              <w:rPr>
                <w:rFonts w:ascii="Times New Roman" w:hAnsi="Times New Roman" w:eastAsia="宋体"/>
                <w:sz w:val="18"/>
              </w:rPr>
              <w:t>、</w:t>
            </w:r>
            <w:r>
              <w:rPr>
                <w:rFonts w:ascii="Consolas" w:hAnsi="Consolas" w:eastAsia="等线"/>
                <w:sz w:val="18"/>
              </w:rPr>
              <w:t>KEEP_AS_IS</w:t>
            </w:r>
            <w:r>
              <w:rPr>
                <w:rFonts w:ascii="Times New Roman" w:hAnsi="Times New Roman" w:eastAsia="宋体"/>
                <w:sz w:val="18"/>
              </w:rPr>
              <w:t>、</w:t>
            </w:r>
            <w:r>
              <w:rPr>
                <w:rFonts w:ascii="Consolas" w:hAnsi="Consolas" w:eastAsia="等线"/>
                <w:sz w:val="18"/>
              </w:rPr>
              <w:t>INT_NAN_TO_1</w:t>
            </w:r>
            <w:r>
              <w:rPr>
                <w:rFonts w:ascii="Times New Roman" w:hAnsi="Times New Roman" w:eastAsia="宋体"/>
                <w:sz w:val="18"/>
              </w:rPr>
              <w:t>、</w:t>
            </w:r>
            <w:r>
              <w:rPr>
                <w:rFonts w:ascii="Consolas" w:hAnsi="Consolas" w:eastAsia="等线"/>
                <w:sz w:val="18"/>
              </w:rPr>
              <w:t>NO_LAND_NAN</w:t>
            </w:r>
            <w:r>
              <w:rPr>
                <w:rFonts w:ascii="Times New Roman" w:hAnsi="Times New Roman" w:eastAsia="宋体"/>
                <w:sz w:val="18"/>
              </w:rPr>
              <w:t>和</w:t>
            </w:r>
            <w:r>
              <w:rPr>
                <w:rFonts w:ascii="Consolas" w:hAnsi="Consolas" w:eastAsia="等线"/>
                <w:sz w:val="18"/>
              </w:rPr>
              <w:t>NO_NAN</w:t>
            </w:r>
          </w:p>
        </w:tc>
      </w:tr>
      <w:tr>
        <w:tc>
          <w:tcPr>
            <w:tcW w:type="dxa" w:w="3060"/>
          </w:tcPr>
          <w:p>
            <w:r>
              <w:rPr>
                <w:sz w:val="18"/>
              </w:rPr>
            </w:r>
            <w:r>
              <w:rPr>
                <w:rFonts w:ascii="Times New Roman" w:hAnsi="Times New Roman" w:eastAsia="宋体"/>
                <w:sz w:val="18"/>
              </w:rPr>
              <w:t>变量元数据</w:t>
            </w:r>
          </w:p>
        </w:tc>
        <w:tc>
          <w:tcPr>
            <w:tcW w:type="dxa" w:w="3060"/>
          </w:tcPr>
          <w:p>
            <w:r>
              <w:rPr>
                <w:sz w:val="18"/>
              </w:rPr>
            </w:r>
            <w:r>
              <w:rPr>
                <w:rFonts w:ascii="Consolas" w:hAnsi="Consolas" w:eastAsia="等线"/>
                <w:sz w:val="18"/>
              </w:rPr>
              <w:t>data/std</w:t>
            </w:r>
            <w:r>
              <w:rPr>
                <w:rFonts w:ascii="Times New Roman" w:hAnsi="Times New Roman" w:eastAsia="宋体"/>
                <w:sz w:val="18"/>
              </w:rPr>
              <w:t>记录可读说明、单位及处理变更条目</w:t>
            </w:r>
          </w:p>
        </w:tc>
        <w:tc>
          <w:tcPr>
            <w:tcW w:type="dxa" w:w="3060"/>
          </w:tcPr>
          <w:p>
            <w:r>
              <w:rPr>
                <w:sz w:val="18"/>
              </w:rPr>
            </w:r>
            <w:r>
              <w:rPr>
                <w:rFonts w:ascii="Times New Roman" w:hAnsi="Times New Roman" w:eastAsia="宋体"/>
                <w:sz w:val="18"/>
              </w:rPr>
              <w:t>输出文件保留变量语义与主要转换过程</w:t>
            </w:r>
          </w:p>
        </w:tc>
      </w:tr>
      <w:tr>
        <w:tc>
          <w:tcPr>
            <w:tcW w:type="dxa" w:w="3060"/>
          </w:tcPr>
          <w:p>
            <w:r>
              <w:rPr>
                <w:sz w:val="18"/>
              </w:rPr>
            </w:r>
            <w:r>
              <w:rPr>
                <w:rFonts w:ascii="Times New Roman" w:hAnsi="Times New Roman" w:eastAsia="宋体"/>
                <w:sz w:val="18"/>
              </w:rPr>
              <w:t>处理记录</w:t>
            </w:r>
          </w:p>
        </w:tc>
        <w:tc>
          <w:tcPr>
            <w:tcW w:type="dxa" w:w="3060"/>
          </w:tcPr>
          <w:p>
            <w:r>
              <w:rPr>
                <w:sz w:val="18"/>
              </w:rPr>
            </w:r>
            <w:r>
              <w:rPr>
                <w:rFonts w:ascii="Times New Roman" w:hAnsi="Times New Roman" w:eastAsia="宋体"/>
                <w:sz w:val="18"/>
              </w:rPr>
              <w:t>YAML声明维度、坐标、数值与Gapfill规则；NetCDF属性写入逐项变更记录</w:t>
            </w:r>
          </w:p>
        </w:tc>
        <w:tc>
          <w:tcPr>
            <w:tcW w:type="dxa" w:w="3060"/>
          </w:tcPr>
          <w:p>
            <w:r>
              <w:rPr>
                <w:sz w:val="18"/>
              </w:rPr>
            </w:r>
            <w:r>
              <w:rPr>
                <w:rFonts w:ascii="Times New Roman" w:hAnsi="Times New Roman" w:eastAsia="宋体"/>
                <w:sz w:val="18"/>
              </w:rPr>
              <w:t>配置意图与产品处理历史相互对应</w:t>
            </w:r>
          </w:p>
        </w:tc>
      </w:tr>
      <w:tr>
        <w:tc>
          <w:tcPr>
            <w:tcW w:type="dxa" w:w="3060"/>
          </w:tcPr>
          <w:p>
            <w:r>
              <w:rPr>
                <w:sz w:val="18"/>
              </w:rPr>
            </w:r>
            <w:r>
              <w:rPr>
                <w:rFonts w:ascii="Times New Roman" w:hAnsi="Times New Roman" w:eastAsia="宋体"/>
                <w:sz w:val="18"/>
              </w:rPr>
              <w:t>处理复现</w:t>
            </w:r>
          </w:p>
        </w:tc>
        <w:tc>
          <w:tcPr>
            <w:tcW w:type="dxa" w:w="3060"/>
          </w:tcPr>
          <w:p>
            <w:r>
              <w:rPr>
                <w:sz w:val="18"/>
              </w:rPr>
            </w:r>
            <w:r>
              <w:rPr>
                <w:rFonts w:ascii="Consolas" w:hAnsi="Consolas" w:eastAsia="等线"/>
                <w:sz w:val="18"/>
              </w:rPr>
              <w:t>SCHEMA_VERSION</w:t>
            </w:r>
            <w:r>
              <w:rPr>
                <w:rFonts w:ascii="Times New Roman" w:hAnsi="Times New Roman" w:eastAsia="宋体"/>
                <w:sz w:val="18"/>
              </w:rPr>
              <w:t>、完整YAML、固定输入和版本化项目环境共同归档</w:t>
            </w:r>
          </w:p>
        </w:tc>
        <w:tc>
          <w:tcPr>
            <w:tcW w:type="dxa" w:w="3060"/>
          </w:tcPr>
          <w:p>
            <w:r>
              <w:rPr>
                <w:sz w:val="18"/>
              </w:rPr>
            </w:r>
            <w:r>
              <w:rPr>
                <w:rFonts w:ascii="Times New Roman" w:hAnsi="Times New Roman" w:eastAsia="宋体"/>
                <w:sz w:val="18"/>
              </w:rPr>
              <w:t>配置、输入与代码版本共同重建标准产品</w:t>
            </w:r>
          </w:p>
        </w:tc>
      </w:tr>
      <w:tr>
        <w:tc>
          <w:tcPr>
            <w:tcW w:type="dxa" w:w="3060"/>
          </w:tcPr>
          <w:p>
            <w:r>
              <w:rPr>
                <w:sz w:val="18"/>
              </w:rPr>
            </w:r>
            <w:r>
              <w:rPr>
                <w:rFonts w:ascii="Times New Roman" w:hAnsi="Times New Roman" w:eastAsia="宋体"/>
                <w:sz w:val="18"/>
              </w:rPr>
              <w:t>标签与版本</w:t>
            </w:r>
          </w:p>
        </w:tc>
        <w:tc>
          <w:tcPr>
            <w:tcW w:type="dxa" w:w="3060"/>
          </w:tcPr>
          <w:p>
            <w:r>
              <w:rPr>
                <w:sz w:val="18"/>
              </w:rPr>
            </w:r>
            <w:r>
              <w:rPr>
                <w:rFonts w:ascii="Times New Roman" w:hAnsi="Times New Roman" w:eastAsia="宋体"/>
                <w:sz w:val="18"/>
              </w:rPr>
              <w:t>标签表达类别、空间/时间分辨率、年份、版本和可选修订号</w:t>
            </w:r>
          </w:p>
        </w:tc>
        <w:tc>
          <w:tcPr>
            <w:tcW w:type="dxa" w:w="3060"/>
          </w:tcPr>
          <w:p>
            <w:r>
              <w:rPr>
                <w:sz w:val="18"/>
              </w:rPr>
            </w:r>
            <w:r>
              <w:rPr>
                <w:rFonts w:ascii="Times New Roman" w:hAnsi="Times New Roman" w:eastAsia="宋体"/>
                <w:sz w:val="18"/>
              </w:rPr>
              <w:t>标签与文件名共同形成稳定产品标识</w:t>
            </w:r>
          </w:p>
        </w:tc>
      </w:tr>
      <w:tr>
        <w:tc>
          <w:tcPr>
            <w:tcW w:type="dxa" w:w="3060"/>
          </w:tcPr>
          <w:p>
            <w:r>
              <w:rPr>
                <w:sz w:val="18"/>
              </w:rPr>
            </w:r>
            <w:r>
              <w:rPr>
                <w:rFonts w:ascii="Times New Roman" w:hAnsi="Times New Roman" w:eastAsia="宋体"/>
                <w:sz w:val="18"/>
              </w:rPr>
              <w:t>分发完整性</w:t>
            </w:r>
          </w:p>
        </w:tc>
        <w:tc>
          <w:tcPr>
            <w:tcW w:type="dxa" w:w="3060"/>
          </w:tcPr>
          <w:p>
            <w:r>
              <w:rPr>
                <w:sz w:val="18"/>
              </w:rPr>
            </w:r>
            <w:r>
              <w:rPr>
                <w:rFonts w:ascii="Times New Roman" w:hAnsi="Times New Roman" w:eastAsia="宋体"/>
                <w:sz w:val="18"/>
              </w:rPr>
              <w:t>正式发布条目记录文件字节数和SHA-256；同一标签各镜像内容相同</w:t>
            </w:r>
          </w:p>
        </w:tc>
        <w:tc>
          <w:tcPr>
            <w:tcW w:type="dxa" w:w="3060"/>
          </w:tcPr>
          <w:p>
            <w:r>
              <w:rPr>
                <w:sz w:val="18"/>
              </w:rPr>
            </w:r>
            <w:r>
              <w:rPr>
                <w:rFonts w:ascii="Times New Roman" w:hAnsi="Times New Roman" w:eastAsia="宋体"/>
                <w:sz w:val="18"/>
              </w:rPr>
              <w:t>下载后核验并以事务方式进入正式目录</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The specification connects grid structure, gap filling, metadata, provenance, versioning, and distribution integrity within a unified production contract.</w:t>
      </w:r>
    </w:p>
    <w:p>
      <w:r>
        <w:rPr>
          <w:rFonts w:ascii="Times New Roman" w:hAnsi="Times New Roman" w:eastAsia="宋体"/>
        </w:rPr>
        <w:t>缺失值处理由YAML中的</w:t>
      </w:r>
      <w:r>
        <w:rPr>
          <w:rFonts w:ascii="Consolas" w:hAnsi="Consolas" w:eastAsia="等线"/>
        </w:rPr>
        <w:t>GAPFILL</w:t>
      </w:r>
      <w:r>
        <w:rPr>
          <w:rFonts w:ascii="Times New Roman" w:hAnsi="Times New Roman" w:eastAsia="宋体"/>
        </w:rPr>
        <w:t>字段驱动，并依据产品物理含义选择相应策略。数值常数和</w:t>
      </w:r>
      <w:r>
        <w:rPr>
          <w:rFonts w:ascii="Consolas" w:hAnsi="Consolas" w:eastAsia="等线"/>
        </w:rPr>
        <w:t>MEAN</w:t>
      </w:r>
      <w:r>
        <w:rPr>
          <w:rFonts w:ascii="Times New Roman" w:hAnsi="Times New Roman" w:eastAsia="宋体"/>
        </w:rPr>
        <w:t>分别以给定值或分层</w:t>
      </w:r>
      <w:r>
        <w:rPr>
          <w:rFonts w:ascii="Consolas" w:hAnsi="Consolas" w:eastAsia="等线"/>
        </w:rPr>
        <w:t>nanmean</w:t>
      </w:r>
      <w:r>
        <w:rPr>
          <w:rFonts w:ascii="Times New Roman" w:hAnsi="Times New Roman" w:eastAsia="宋体"/>
        </w:rPr>
        <w:t>填补陆地区域缺失值；</w:t>
      </w:r>
      <w:r>
        <w:rPr>
          <w:rFonts w:ascii="Consolas" w:hAnsi="Consolas" w:eastAsia="等线"/>
        </w:rPr>
        <w:t>KEEP_AS_IS</w:t>
      </w:r>
      <w:r>
        <w:rPr>
          <w:rFonts w:ascii="Times New Roman" w:hAnsi="Times New Roman" w:eastAsia="宋体"/>
        </w:rPr>
        <w:t>保持原始数组；</w:t>
      </w:r>
      <w:r>
        <w:rPr>
          <w:rFonts w:ascii="Consolas" w:hAnsi="Consolas" w:eastAsia="等线"/>
        </w:rPr>
        <w:t>INT_NAN_TO_1</w:t>
      </w:r>
      <w:r>
        <w:rPr>
          <w:rFonts w:ascii="Times New Roman" w:hAnsi="Times New Roman" w:eastAsia="宋体"/>
        </w:rPr>
        <w:t>将缺失值补为1并对数组整数化；</w:t>
      </w:r>
      <w:r>
        <w:rPr>
          <w:rFonts w:ascii="Consolas" w:hAnsi="Consolas" w:eastAsia="等线"/>
        </w:rPr>
        <w:t>NO_LAND_NAN</w:t>
      </w:r>
      <w:r>
        <w:rPr>
          <w:rFonts w:ascii="Times New Roman" w:hAnsi="Times New Roman" w:eastAsia="宋体"/>
        </w:rPr>
        <w:t>和</w:t>
      </w:r>
      <w:r>
        <w:rPr>
          <w:rFonts w:ascii="Consolas" w:hAnsi="Consolas" w:eastAsia="等线"/>
        </w:rPr>
        <w:t>NO_NAN</w:t>
      </w:r>
      <w:r>
        <w:rPr>
          <w:rFonts w:ascii="Times New Roman" w:hAnsi="Times New Roman" w:eastAsia="宋体"/>
        </w:rPr>
        <w:t>分别检查陆地区域与全域的数据完整性。Gapfill由此统一连接有效范围过滤、陆海掩膜、缺失值处置和输出精度，为不同地球系统数据产品提供可配置的数据完善方法。ELEV采用常数0填补策略，为统一读取和模型调用提供连续地形场。</w:t>
      </w:r>
    </w:p>
    <w:p>
      <w:r>
        <w:rPr>
          <w:rFonts w:ascii="Times New Roman" w:hAnsi="Times New Roman" w:eastAsia="宋体"/>
        </w:rPr>
        <w:t>CF约定利用坐标变量和属性表达维度语义[2]。GriddingMachine进一步固定输出维度顺序，以降低下游接口复杂度。新版通过YAML的</w:t>
      </w:r>
      <w:r>
        <w:rPr>
          <w:rFonts w:ascii="Consolas" w:hAnsi="Consolas" w:eastAsia="等线"/>
        </w:rPr>
        <w:t>DIMENSIONS</w:t>
      </w:r>
      <w:r>
        <w:rPr>
          <w:rFonts w:ascii="Times New Roman" w:hAnsi="Times New Roman" w:eastAsia="宋体"/>
        </w:rPr>
        <w:t>显式记录源变量各维度语义，维度标准化过程将</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宋体"/>
        </w:rPr>
        <w:t>2.2.2 YAML配置与转换示例</w:t>
      </w:r>
    </w:p>
    <w:p>
      <w:r>
        <w:rPr>
          <w:rFonts w:ascii="Times New Roman" w:hAnsi="Times New Roman" w:eastAsia="宋体"/>
        </w:rPr>
        <w:t>YAML 将数据源差异与通用处理代码分离。当前配置由四类顶层字段组成：</w:t>
      </w:r>
      <w:r>
        <w:rPr>
          <w:rFonts w:ascii="Consolas" w:hAnsi="Consolas" w:eastAsia="等线"/>
        </w:rPr>
        <w:t>FILE</w:t>
      </w:r>
      <w:r>
        <w:rPr>
          <w:rFonts w:ascii="Times New Roman" w:hAnsi="Times New Roman" w:eastAsia="宋体"/>
        </w:rPr>
        <w:t xml:space="preserve"> 描述文件命名模式及 </w:t>
      </w:r>
      <w:r>
        <w:rPr>
          <w:rFonts w:ascii="Consolas" w:hAnsi="Consolas" w:eastAsia="等线"/>
        </w:rPr>
        <w:t>PREFIX</w:t>
      </w:r>
      <w:r>
        <w:rPr>
          <w:rFonts w:ascii="Times New Roman" w:hAnsi="Times New Roman" w:eastAsia="宋体"/>
        </w:rPr>
        <w:t xml:space="preserve">、空间分辨率 </w:t>
      </w:r>
      <w:r>
        <w:rPr>
          <w:rFonts w:ascii="Consolas" w:hAnsi="Consolas" w:eastAsia="等线"/>
        </w:rPr>
        <w:t>NX</w:t>
      </w:r>
      <w:r>
        <w:rPr>
          <w:rFonts w:ascii="Times New Roman" w:hAnsi="Times New Roman" w:eastAsia="宋体"/>
        </w:rPr>
        <w:t xml:space="preserve">、时间分辨率 </w:t>
      </w:r>
      <w:r>
        <w:rPr>
          <w:rFonts w:ascii="Consolas" w:hAnsi="Consolas" w:eastAsia="等线"/>
        </w:rPr>
        <w:t>MT</w:t>
      </w:r>
      <w:r>
        <w:rPr>
          <w:rFonts w:ascii="Times New Roman" w:hAnsi="Times New Roman" w:eastAsia="宋体"/>
        </w:rPr>
        <w:t xml:space="preserve">、可选年份 </w:t>
      </w:r>
      <w:r>
        <w:rPr>
          <w:rFonts w:ascii="Consolas" w:hAnsi="Consolas" w:eastAsia="等线"/>
        </w:rPr>
        <w:t>YYYY</w:t>
      </w:r>
      <w:r>
        <w:rPr>
          <w:rFonts w:ascii="Times New Roman" w:hAnsi="Times New Roman" w:eastAsia="宋体"/>
        </w:rPr>
        <w:t xml:space="preserve"> 和数据版本 </w:t>
      </w:r>
      <w:r>
        <w:rPr>
          <w:rFonts w:ascii="Consolas" w:hAnsi="Consolas" w:eastAsia="等线"/>
        </w:rPr>
        <w:t>VV</w:t>
      </w:r>
      <w:r>
        <w:rPr>
          <w:rFonts w:ascii="Times New Roman" w:hAnsi="Times New Roman" w:eastAsia="宋体"/>
        </w:rPr>
        <w:t>；</w:t>
      </w:r>
      <w:r>
        <w:rPr>
          <w:rFonts w:ascii="Consolas" w:hAnsi="Consolas" w:eastAsia="等线"/>
        </w:rPr>
        <w:t>FOLDER</w:t>
      </w:r>
      <w:r>
        <w:rPr>
          <w:rFonts w:ascii="Times New Roman" w:hAnsi="Times New Roman" w:eastAsia="宋体"/>
        </w:rPr>
        <w:t xml:space="preserve"> 指定原始数据与标准化数据目录；</w:t>
      </w:r>
      <w:r>
        <w:rPr>
          <w:rFonts w:ascii="Consolas" w:hAnsi="Consolas" w:eastAsia="等线"/>
        </w:rPr>
        <w:t>DATA</w:t>
      </w:r>
      <w:r>
        <w:rPr>
          <w:rFonts w:ascii="Times New Roman" w:hAnsi="Times New Roman" w:eastAsia="宋体"/>
        </w:rPr>
        <w:t xml:space="preserve"> 及可选的 </w:t>
      </w:r>
      <w:r>
        <w:rPr>
          <w:rFonts w:ascii="Consolas" w:hAnsi="Consolas" w:eastAsia="等线"/>
        </w:rPr>
        <w:t>STD</w:t>
      </w:r>
      <w:r>
        <w:rPr>
          <w:rFonts w:ascii="Times New Roman" w:hAnsi="Times New Roman" w:eastAsia="宋体"/>
        </w:rPr>
        <w:t xml:space="preserve"> 描述源变量名称、单位、缩放、有效范围、经纬度变换、缺失值策略和处理日志；</w:t>
      </w:r>
      <w:r>
        <w:rPr>
          <w:rFonts w:ascii="Consolas" w:hAnsi="Consolas" w:eastAsia="等线"/>
        </w:rPr>
        <w:t>GRIDDINGMACHINE</w:t>
      </w:r>
      <w:r>
        <w:rPr>
          <w:rFonts w:ascii="Times New Roman" w:hAnsi="Times New Roman" w:eastAsia="宋体"/>
        </w:rPr>
        <w:t xml:space="preserve"> 定义标签及可选修订号。一个配置可以包含多组前缀、分辨率、时间尺度、年份和版本，流水线对其笛卡尔组合逐项生成目标文件。</w:t>
      </w:r>
    </w:p>
    <w:p>
      <w:r>
        <w:rPr>
          <w:rFonts w:ascii="Times New Roman" w:hAnsi="Times New Roman" w:eastAsia="宋体"/>
        </w:rPr>
        <w:t>新版加入</w:t>
      </w:r>
      <w:r>
        <w:rPr>
          <w:rFonts w:ascii="Consolas" w:hAnsi="Consolas" w:eastAsia="等线"/>
        </w:rPr>
        <w:t>SCHEMA_VERSION</w:t>
      </w:r>
      <w:r>
        <w:rPr>
          <w:rFonts w:ascii="Times New Roman" w:hAnsi="Times New Roman" w:eastAsia="宋体"/>
        </w:rPr>
        <w:t>并在数据读取前解析配置结构。字段分为必需项、具有明确默认值的可选项和互斥项，数组长度与变量前缀一一对应；</w:t>
      </w:r>
      <w:r>
        <w:rPr>
          <w:rFonts w:ascii="Consolas" w:hAnsi="Consolas" w:eastAsia="等线"/>
        </w:rPr>
        <w:t>DIMENSIONS</w:t>
      </w:r>
      <w:r>
        <w:rPr>
          <w:rFonts w:ascii="Times New Roman" w:hAnsi="Times New Roman" w:eastAsia="宋体"/>
        </w:rPr>
        <w:t>、坐标变换、Gapfill和输出属性由共享schema统一约束。生产配置及配置构建器采用直接NetCDF方案，缺省</w:t>
      </w:r>
      <w:r>
        <w:rPr>
          <w:rFonts w:ascii="Consolas" w:hAnsi="Consolas" w:eastAsia="等线"/>
        </w:rPr>
        <w:t>GAPFILL</w:t>
      </w:r>
      <w:r>
        <w:rPr>
          <w:rFonts w:ascii="Times New Roman" w:hAnsi="Times New Roman" w:eastAsia="宋体"/>
        </w:rPr>
        <w:t>规范化为</w:t>
      </w:r>
      <w:r>
        <w:rPr>
          <w:rFonts w:ascii="Consolas" w:hAnsi="Consolas" w:eastAsia="等线"/>
        </w:rPr>
        <w:t>KEEP_AS_IS</w:t>
      </w:r>
      <w:r>
        <w:rPr>
          <w:rFonts w:ascii="Times New Roman" w:hAnsi="Times New Roman" w:eastAsia="宋体"/>
        </w:rPr>
        <w:t>。显式schema版本既承接既有配置，也为配置契约的持续演化建立清晰边界。</w:t>
      </w:r>
    </w:p>
    <w:p>
      <w:r>
        <w:rPr>
          <w:rFonts w:ascii="Times New Roman" w:hAnsi="Times New Roman" w:eastAsia="宋体"/>
        </w:rPr>
        <w:t>数据贡献示例使用二维非对称参考数据呈现配置与处理操作的对应关系。源变量采用</w:t>
      </w:r>
      <w:r>
        <w:rPr>
          <w:rFonts w:ascii="Consolas" w:hAnsi="Consolas" w:eastAsia="等线"/>
        </w:rPr>
        <w:t>(lat,lon)</w:t>
      </w:r>
      <w:r>
        <w:rPr>
          <w:rFonts w:ascii="Times New Roman" w:hAnsi="Times New Roman" w:eastAsia="宋体"/>
        </w:rPr>
        <w:t>顺序，纬度由北向南、经度范围为</w:t>
      </w:r>
      <w:r>
        <w:rPr>
          <w:rFonts w:ascii="Consolas" w:hAnsi="Consolas" w:eastAsia="等线"/>
        </w:rPr>
        <w:t>0～360°</w:t>
      </w:r>
      <w:r>
        <w:rPr>
          <w:rFonts w:ascii="Times New Roman" w:hAnsi="Times New Roman" w:eastAsia="宋体"/>
        </w:rPr>
        <w:t>；配置中的关键映射为</w:t>
      </w:r>
      <w:r>
        <w:rPr>
          <w:rFonts w:ascii="Consolas" w:hAnsi="Consolas" w:eastAsia="等线"/>
        </w:rPr>
        <w:t>DIMENSIONS: source: [lat, lon]</w:t>
      </w:r>
      <w:r>
        <w:rPr>
          <w:rFonts w:ascii="Times New Roman" w:hAnsi="Times New Roman" w:eastAsia="宋体"/>
        </w:rPr>
        <w:t>，并声明纬度翻转、经度半球转换和线性变换</w:t>
      </w:r>
      <w:r>
        <w:rPr>
          <w:rFonts w:ascii="Consolas" w:hAnsi="Consolas" w:eastAsia="等线"/>
        </w:rPr>
        <w:t>2x+1</w:t>
      </w:r>
      <w:r>
        <w:rPr>
          <w:rFonts w:ascii="Times New Roman" w:hAnsi="Times New Roman" w:eastAsia="宋体"/>
        </w:rPr>
        <w:t>。处理后得到标准</w:t>
      </w:r>
      <w:r>
        <w:rPr>
          <w:rFonts w:ascii="Consolas" w:hAnsi="Consolas" w:eastAsia="等线"/>
        </w:rPr>
        <w:t>(lon,lat)</w:t>
      </w:r>
      <w:r>
        <w:rPr>
          <w:rFonts w:ascii="Times New Roman" w:hAnsi="Times New Roman" w:eastAsia="宋体"/>
        </w:rPr>
        <w:t>顺序的</w:t>
      </w:r>
      <w:r>
        <w:rPr>
          <w:rFonts w:ascii="Consolas" w:hAnsi="Consolas" w:eastAsia="等线"/>
        </w:rPr>
        <w:t>CONTRIB_SRC_2X_1Y_V1.nc</w:t>
      </w:r>
      <w:r>
        <w:rPr>
          <w:rFonts w:ascii="Times New Roman" w:hAnsi="Times New Roman" w:eastAsia="宋体"/>
        </w:rPr>
        <w:t>，逐点结果与独立参考数组一致。框1保留维度、坐标、数值和Gapfill等核心字段，完整字段字典、命令及目录组织由版本化数据贡献指南提供。</w:t>
      </w:r>
    </w:p>
    <w:p>
      <w:r>
        <w:rPr>
          <w:rFonts w:ascii="Times New Roman" w:hAnsi="Times New Roman" w:eastAsia="宋体"/>
          <w:b/>
        </w:rPr>
        <w:t>框1 二维源数据标准化的YAML核心配置</w:t>
      </w:r>
    </w:p>
    <w:p>
      <w:pPr>
        <w:spacing w:before="80" w:after="120" w:line="240" w:lineRule="auto"/>
        <w:ind w:firstLine="0" w:left="312" w:right="312"/>
        <w:shd w:fill="F2F5F7"/>
      </w:pPr>
      <w:r>
        <w:rPr>
          <w:rFonts w:ascii="Consolas" w:hAnsi="Consolas" w:eastAsia="等线"/>
          <w:sz w:val="17"/>
        </w:rPr>
        <w:t>SCHEMA_VERSION: 1</w:t>
        <w:br/>
        <w:t>FILE:</w:t>
        <w:br/>
        <w:t xml:space="preserve">  PATTERN: "PREFIX_NX_X_MT_VV.nc"</w:t>
        <w:br/>
        <w:t xml:space="preserve">  PREFIX: ["SRC"]</w:t>
        <w:br/>
        <w:t xml:space="preserve">  NX: [2]</w:t>
        <w:br/>
        <w:t xml:space="preserve">  MT: ["1Y"]</w:t>
        <w:br/>
        <w:t xml:space="preserve">  VV: ["V1"]</w:t>
        <w:br/>
        <w:t>FOLDER:</w:t>
        <w:br/>
        <w:t xml:space="preserve">  ORIGINAL: "case-input"</w:t>
        <w:br/>
        <w:t xml:space="preserve">  REPROCESSED: "case-output"</w:t>
        <w:br/>
        <w:t>DATA:</w:t>
        <w:br/>
        <w:t xml:space="preserve">  ABOUT: "Two-dimensional contributor example"</w:t>
        <w:br/>
        <w:t xml:space="preserve">  CHANGE_LOGS: []</w:t>
        <w:br/>
        <w:t xml:space="preserve">  LABEL: ["source"]</w:t>
        <w:br/>
        <w:t xml:space="preserve">  UNIT: "1"</w:t>
        <w:br/>
        <w:t xml:space="preserve">  DIMENSIONS:</w:t>
        <w:br/>
        <w:t xml:space="preserve">    source: ["lat", "lon"]</w:t>
        <w:br/>
        <w:t xml:space="preserve">  REV_LAT: true</w:t>
        <w:br/>
        <w:t xml:space="preserve">  FLIP_LON: true</w:t>
        <w:br/>
        <w:t xml:space="preserve">  SCALING: "linear"</w:t>
        <w:br/>
        <w:t xml:space="preserve">  SCALING_FACTOR: [2, 1]</w:t>
        <w:br/>
        <w:t xml:space="preserve">  LIMITS: [23, 49]</w:t>
        <w:br/>
        <w:t xml:space="preserve">  GAPFILL: "KEEP_AS_IS"</w:t>
        <w:br/>
        <w:t xml:space="preserve">  VERIFY_ONCE: false</w:t>
        <w:br/>
        <w:t>GRIDDINGMACHINE:</w:t>
        <w:br/>
        <w:t xml:space="preserve">  TAG: "CONTRIB"</w:t>
      </w:r>
    </w:p>
    <w:p>
      <w:r>
        <w:rPr>
          <w:rFonts w:ascii="Times New Roman" w:hAnsi="Times New Roman" w:eastAsia="宋体"/>
        </w:rPr>
        <w:t>配置构建器接收文件命名、变量标签、分辨率、时间尺度、版本、输入输出目录、单位、数值范围、缩放、坐标方向和GriddingMachine标签等结构化输入，并生成YAML配置。该构建器在代码中实现为</w:t>
      </w:r>
      <w:r>
        <w:rPr>
          <w:rFonts w:ascii="Consolas" w:hAnsi="Consolas" w:eastAsia="等线"/>
        </w:rPr>
        <w:t>YamlBuilder</w:t>
      </w:r>
      <w:r>
        <w:rPr>
          <w:rFonts w:ascii="Times New Roman" w:hAnsi="Times New Roman" w:eastAsia="宋体"/>
        </w:rPr>
        <w:t>，通过统一字段名称、层级和默认值，使贡献者能够将数据源约定稳定转换为可执行配置。</w:t>
      </w:r>
    </w:p>
    <w:p>
      <w:r>
        <w:rPr>
          <w:rFonts w:ascii="Times New Roman" w:hAnsi="Times New Roman" w:eastAsia="宋体"/>
        </w:rPr>
        <w:t>配置构建器与生产流水线调用同一schema；其输出采用</w:t>
      </w:r>
      <w:r>
        <w:rPr>
          <w:rFonts w:ascii="Consolas" w:hAnsi="Consolas" w:eastAsia="等线"/>
        </w:rPr>
        <w:t>SCHEMA_VERSION</w:t>
      </w:r>
      <w:r>
        <w:rPr>
          <w:rFonts w:ascii="Times New Roman" w:hAnsi="Times New Roman" w:eastAsia="宋体"/>
        </w:rPr>
        <w:t>、</w:t>
      </w:r>
      <w:r>
        <w:rPr>
          <w:rFonts w:ascii="Consolas" w:hAnsi="Consolas" w:eastAsia="等线"/>
        </w:rPr>
        <w:t>GAPFILL</w:t>
      </w:r>
      <w:r>
        <w:rPr>
          <w:rFonts w:ascii="Times New Roman" w:hAnsi="Times New Roman" w:eastAsia="宋体"/>
        </w:rPr>
        <w:t>与</w:t>
      </w:r>
      <w:r>
        <w:rPr>
          <w:rFonts w:ascii="Consolas" w:hAnsi="Consolas" w:eastAsia="等线"/>
        </w:rPr>
        <w:t>DIMENSIONS</w:t>
      </w:r>
      <w:r>
        <w:rPr>
          <w:rFonts w:ascii="Times New Roman" w:hAnsi="Times New Roman" w:eastAsia="宋体"/>
        </w:rPr>
        <w:t>描述处理契约，字段信息在源数据读取前完成解析。框架同时提供本地交互式配置界面，支持表单输入、YAML预览与保存，生成结果可直接进入标准产品生产流程。框1、交互式生成器和版本化指南共同构成面向贡献者的配置范式。</w:t>
      </w:r>
    </w:p>
    <w:p>
      <w:pPr>
        <w:pStyle w:val="Heading3"/>
      </w:pPr>
      <w:r>
        <w:rPr>
          <w:rFonts w:ascii="Times New Roman" w:hAnsi="Times New Roman" w:eastAsia="宋体"/>
        </w:rPr>
        <w:t>2.2.3 生产流程与质量控制</w:t>
      </w:r>
    </w:p>
    <w:p>
      <w:r>
        <w:rPr>
          <w:rFonts w:ascii="Times New Roman" w:hAnsi="Times New Roman" w:eastAsia="宋体"/>
        </w:rPr>
        <w:t>标准产品生产引擎（</w:t>
      </w:r>
      <w:r>
        <w:rPr>
          <w:rFonts w:ascii="Consolas" w:hAnsi="Consolas" w:eastAsia="等线"/>
        </w:rPr>
        <w:t>process_dataset!</w:t>
      </w:r>
      <w:r>
        <w:rPr>
          <w:rFonts w:ascii="Times New Roman" w:hAnsi="Times New Roman" w:eastAsia="宋体"/>
        </w:rPr>
        <w:t>）首先根据</w:t>
      </w:r>
      <w:r>
        <w:rPr>
          <w:rFonts w:ascii="Consolas" w:hAnsi="Consolas" w:eastAsia="等线"/>
        </w:rPr>
        <w:t>FILE</w:t>
      </w:r>
      <w:r>
        <w:rPr>
          <w:rFonts w:ascii="Times New Roman" w:hAnsi="Times New Roman" w:eastAsia="宋体"/>
        </w:rPr>
        <w:t>和</w:t>
      </w:r>
      <w:r>
        <w:rPr>
          <w:rFonts w:ascii="Consolas" w:hAnsi="Consolas" w:eastAsia="等线"/>
        </w:rPr>
        <w:t>FOLDER</w:t>
      </w:r>
      <w:r>
        <w:rPr>
          <w:rFonts w:ascii="Times New Roman" w:hAnsi="Times New Roman" w:eastAsia="宋体"/>
        </w:rPr>
        <w:t>定位输入与输出文件，再读取</w:t>
      </w:r>
      <w:r>
        <w:rPr>
          <w:rFonts w:ascii="Consolas" w:hAnsi="Consolas" w:eastAsia="等线"/>
        </w:rPr>
        <w:t>DATA</w:t>
      </w:r>
      <w:r>
        <w:rPr>
          <w:rFonts w:ascii="Times New Roman" w:hAnsi="Times New Roman" w:eastAsia="宋体"/>
        </w:rPr>
        <w:t>和可选</w:t>
      </w:r>
      <w:r>
        <w:rPr>
          <w:rFonts w:ascii="Consolas" w:hAnsi="Consolas" w:eastAsia="等线"/>
        </w:rPr>
        <w:t>STD</w:t>
      </w:r>
      <w:r>
        <w:rPr>
          <w:rFonts w:ascii="Times New Roman" w:hAnsi="Times New Roman" w:eastAsia="宋体"/>
        </w:rPr>
        <w:t>指定的源变量。流水线将数据转换为</w:t>
      </w:r>
      <w:r>
        <w:rPr>
          <w:rFonts w:ascii="Consolas" w:hAnsi="Consolas" w:eastAsia="等线"/>
        </w:rPr>
        <w:t>Float32</w:t>
      </w:r>
      <w:r>
        <w:rPr>
          <w:rFonts w:ascii="Times New Roman" w:hAnsi="Times New Roman" w:eastAsia="宋体"/>
        </w:rPr>
        <w:t>，依次执行纬度翻转、经度翻转或从</w:t>
      </w:r>
      <w:r>
        <w:rPr>
          <w:rFonts w:ascii="Consolas" w:hAnsi="Consolas" w:eastAsia="等线"/>
        </w:rPr>
        <w:t>0°～360°</w:t>
      </w:r>
      <w:r>
        <w:rPr>
          <w:rFonts w:ascii="Times New Roman" w:hAnsi="Times New Roman" w:eastAsia="宋体"/>
        </w:rPr>
        <w:t>到</w:t>
      </w:r>
      <w:r>
        <w:rPr>
          <w:rFonts w:ascii="Consolas" w:hAnsi="Consolas" w:eastAsia="等线"/>
        </w:rPr>
        <w:t>−180°～180°</w:t>
      </w:r>
      <w:r>
        <w:rPr>
          <w:rFonts w:ascii="Times New Roman" w:hAnsi="Times New Roman" w:eastAsia="宋体"/>
        </w:rPr>
        <w:t>的循环平移、线性缩放、有效范围过滤和缺失值处理。各项转换追加为NetCDF变量属性中的变更记录；研究材料进一步将完整YAML、固定输入和版本化项目环境与输出产品共同归档。</w:t>
      </w:r>
    </w:p>
    <w:p>
      <w:r>
        <w:rPr>
          <w:rFonts w:ascii="Times New Roman" w:hAnsi="Times New Roman" w:eastAsia="宋体"/>
        </w:rPr>
        <w:t>生产流程在保存前检查维度、坐标、变量、数值范围和Gapfill结果，空间方向图进一步呈现坐标语义。质量控制完成后生成</w:t>
      </w:r>
      <w:r>
        <w:rPr>
          <w:rFonts w:ascii="Consolas" w:hAnsi="Consolas" w:eastAsia="等线"/>
        </w:rPr>
        <w:t>data</w:t>
      </w:r>
      <w:r>
        <w:rPr>
          <w:rFonts w:ascii="Times New Roman" w:hAnsi="Times New Roman" w:eastAsia="宋体"/>
        </w:rPr>
        <w:t>，存在不确定性时追加同形的</w:t>
      </w:r>
      <w:r>
        <w:rPr>
          <w:rFonts w:ascii="Consolas" w:hAnsi="Consolas" w:eastAsia="等线"/>
        </w:rPr>
        <w:t>std</w:t>
      </w:r>
      <w:r>
        <w:rPr>
          <w:rFonts w:ascii="Times New Roman" w:hAnsi="Times New Roman" w:eastAsia="宋体"/>
        </w:rPr>
        <w:t>，并按</w:t>
      </w:r>
      <w:r>
        <w:rPr>
          <w:rFonts w:ascii="Consolas" w:hAnsi="Consolas" w:eastAsia="等线"/>
        </w:rPr>
        <w:t>TAG_(PREFIX_)NX_MT_(YYYY_)VV(_REVISION)</w:t>
      </w:r>
      <w:r>
        <w:rPr>
          <w:rFonts w:ascii="Times New Roman" w:hAnsi="Times New Roman" w:eastAsia="宋体"/>
        </w:rPr>
        <w:t>生成唯一文件名。文件级变更记录与发布级配置、输入和软件环境共同构成双层复现链，连接产品内容与其生成上下文。</w:t>
      </w:r>
    </w:p>
    <w:p>
      <w:r>
        <w:rPr>
          <w:rFonts w:ascii="Times New Roman" w:hAnsi="Times New Roman" w:eastAsia="宋体"/>
        </w:rPr>
        <w:t>生产流水线完成维度与数值转换后，对待保存数组开展空间方向检查。检查过程依据变量维度名生成带经纬度坐标轴的方向图；二维数据以静态图呈现，三维数据沿周期维形成动态图。维护者据此确认南北方向、东西方向和经度平移结果，YAML中的</w:t>
      </w:r>
      <w:r>
        <w:rPr>
          <w:rFonts w:ascii="Consolas" w:hAnsi="Consolas" w:eastAsia="等线"/>
        </w:rPr>
        <w:t>VERIFY_ONCE</w:t>
      </w:r>
      <w:r>
        <w:rPr>
          <w:rFonts w:ascii="Times New Roman" w:hAnsi="Times New Roman" w:eastAsia="宋体"/>
        </w:rPr>
        <w:t>用于管理同一配置组合的首次确认状态。</w:t>
      </w:r>
    </w:p>
    <w:p>
      <w:r>
        <w:rPr>
          <w:rFonts w:ascii="Times New Roman" w:hAnsi="Times New Roman" w:eastAsia="宋体"/>
        </w:rPr>
        <w:t>这一过程用于识别南北方向、东西方向和经度平移状态。方向正确与南北反转的非对称位置编码图得到准确区分。人工空间判断与自动坐标、结构和逐点数值检查共同组成直观的方向质量控制体系。</w:t>
      </w:r>
    </w:p>
    <w:p>
      <w:r>
        <w:rPr>
          <w:rFonts w:ascii="Times New Roman" w:hAnsi="Times New Roman" w:eastAsia="宋体"/>
        </w:rPr>
        <w:t>对于已经生成的NetCDF文件，成品质量检查进一步核对空间覆盖类型、</w:t>
      </w:r>
      <w:r>
        <w:rPr>
          <w:rFonts w:ascii="Consolas" w:hAnsi="Consolas" w:eastAsia="等线"/>
        </w:rPr>
        <w:t>lon</w:t>
      </w:r>
      <w:r>
        <w:rPr>
          <w:rFonts w:ascii="Times New Roman" w:hAnsi="Times New Roman" w:eastAsia="宋体"/>
        </w:rPr>
        <w:t>和</w:t>
      </w:r>
      <w:r>
        <w:rPr>
          <w:rFonts w:ascii="Consolas" w:hAnsi="Consolas" w:eastAsia="等线"/>
        </w:rPr>
        <w:t>lat</w:t>
      </w:r>
      <w:r>
        <w:rPr>
          <w:rFonts w:ascii="Times New Roman" w:hAnsi="Times New Roman" w:eastAsia="宋体"/>
        </w:rPr>
        <w:t>维度、坐标变量及主变量</w:t>
      </w:r>
      <w:r>
        <w:rPr>
          <w:rFonts w:ascii="Consolas" w:hAnsi="Consolas" w:eastAsia="等线"/>
        </w:rPr>
        <w:t>data</w:t>
      </w:r>
      <w:r>
        <w:rPr>
          <w:rFonts w:ascii="Times New Roman" w:hAnsi="Times New Roman" w:eastAsia="宋体"/>
        </w:rPr>
        <w:t>；三维产品同时核对周期维</w:t>
      </w:r>
      <w:r>
        <w:rPr>
          <w:rFonts w:ascii="Consolas" w:hAnsi="Consolas" w:eastAsia="等线"/>
        </w:rPr>
        <w:t>ind</w:t>
      </w:r>
      <w:r>
        <w:rPr>
          <w:rFonts w:ascii="Times New Roman" w:hAnsi="Times New Roman" w:eastAsia="宋体"/>
        </w:rPr>
        <w:t>及各维长度的一致性。数值检查读取完整数组，统计有效值范围并与产品配置中的物理范围相互核对。</w:t>
      </w:r>
    </w:p>
    <w:p>
      <w:r>
        <w:rPr>
          <w:rFonts w:ascii="Times New Roman" w:hAnsi="Times New Roman" w:eastAsia="宋体"/>
        </w:rPr>
        <w:t>缺失值检查根据覆盖类型执行。</w:t>
      </w:r>
      <w:r>
        <w:rPr>
          <w:rFonts w:ascii="Consolas" w:hAnsi="Consolas" w:eastAsia="等线"/>
        </w:rPr>
        <w:t>both</w:t>
      </w:r>
      <w:r>
        <w:rPr>
          <w:rFonts w:ascii="Times New Roman" w:hAnsi="Times New Roman" w:eastAsia="宋体"/>
        </w:rPr>
        <w:t>要求整个数组具有完整有效值；</w:t>
      </w:r>
      <w:r>
        <w:rPr>
          <w:rFonts w:ascii="Consolas" w:hAnsi="Consolas" w:eastAsia="等线"/>
        </w:rPr>
        <w:t>land</w:t>
      </w:r>
      <w:r>
        <w:rPr>
          <w:rFonts w:ascii="Times New Roman" w:hAnsi="Times New Roman" w:eastAsia="宋体"/>
        </w:rPr>
        <w:t>在经度长度为360、720或1 440时读取并重采样</w:t>
      </w:r>
      <w:r>
        <w:rPr>
          <w:rFonts w:ascii="Consolas" w:hAnsi="Consolas" w:eastAsia="等线"/>
        </w:rPr>
        <w:t>LM_4X_1Y_V1</w:t>
      </w:r>
      <w:r>
        <w:rPr>
          <w:rFonts w:ascii="Times New Roman" w:hAnsi="Times New Roman" w:eastAsia="宋体"/>
        </w:rPr>
        <w:t>陆地掩膜，逐层检查陆地区域。其他空间分辨率由专用规则承接。结构、范围和陆地掩膜检查与生产阶段的坐标方向、变量属性和处理记录共同构成标准产品的质量信息。</w:t>
      </w:r>
    </w:p>
    <w:p>
      <w:pPr>
        <w:pStyle w:val="Heading2"/>
      </w:pPr>
      <w:r>
        <w:rPr>
          <w:rFonts w:ascii="Times New Roman" w:hAnsi="Times New Roman" w:eastAsia="宋体"/>
        </w:rPr>
        <w:t>2.3 产品发布与独立数据目录</w:t>
      </w:r>
    </w:p>
    <w:p>
      <w:pPr>
        <w:pStyle w:val="Heading3"/>
      </w:pPr>
      <w:r>
        <w:rPr>
          <w:rFonts w:ascii="Times New Roman" w:hAnsi="Times New Roman" w:eastAsia="宋体"/>
        </w:rPr>
        <w:t>2.3.1 标签生成与目录登记</w:t>
      </w:r>
    </w:p>
    <w:p>
      <w:r>
        <w:rPr>
          <w:rFonts w:ascii="Times New Roman" w:hAnsi="Times New Roman" w:eastAsia="宋体"/>
        </w:rPr>
        <w:t>标准产品标签由类别、可选前缀、空间分辨率、时间分辨率、可选年份、数据版本和可选修订号构成，基本形式为</w:t>
      </w:r>
      <w:r>
        <w:rPr>
          <w:rFonts w:ascii="Consolas" w:hAnsi="Consolas" w:eastAsia="等线"/>
        </w:rPr>
        <w:t>TAG_(PREFIX_)NX_MT_(YYYY_)VV(_REVISION)</w:t>
      </w:r>
      <w:r>
        <w:rPr>
          <w:rFonts w:ascii="Times New Roman" w:hAnsi="Times New Roman" w:eastAsia="宋体"/>
        </w:rPr>
        <w:t>。生成输出路径时，标签生成器读取当前数据目录并识别已有产品状态，以保持产品标识的唯一性。</w:t>
      </w:r>
    </w:p>
    <w:p>
      <w:r>
        <w:rPr>
          <w:rFonts w:ascii="Times New Roman" w:hAnsi="Times New Roman" w:eastAsia="宋体"/>
        </w:rPr>
        <w:t>数据发布与目录登记采用解耦设计。维护者在Zenodo、机构FTP或其他存储中发布标准产品，目录生成器根据标准NetCDF路径和公开地址生成逻辑路径、去重后的镜像列表、文件字节数和SHA-256，并按标签排序后通过临时文件更新</w:t>
      </w:r>
      <w:r>
        <w:rPr>
          <w:rFonts w:ascii="Consolas" w:hAnsi="Consolas" w:eastAsia="等线"/>
        </w:rPr>
        <w:t>Artifacts.yaml</w:t>
      </w:r>
      <w:r>
        <w:rPr>
          <w:rFonts w:ascii="Times New Roman" w:hAnsi="Times New Roman" w:eastAsia="宋体"/>
        </w:rPr>
        <w:t>，由此形成职责清晰、内容可校验的目录生成流程。</w:t>
      </w:r>
    </w:p>
    <w:p>
      <w:r>
        <w:rPr>
          <w:rFonts w:ascii="Times New Roman" w:hAnsi="Times New Roman" w:eastAsia="宋体"/>
        </w:rPr>
        <w:t>目录生成器从本地标准文件计算字节数和SHA-256并写入YAML，下载端以相同字段确认实际内容，从而形成“本地标准文件—目录条目—下载文件”的完整性链。历史目录迁移以权威标准文件重新生成完整性元数据，镜像地址巡检则持续维护各分发副本的可访问性。</w:t>
      </w:r>
    </w:p>
    <w:p>
      <w:pPr>
        <w:pStyle w:val="Heading3"/>
      </w:pPr>
      <w:r>
        <w:rPr>
          <w:rFonts w:ascii="Times New Roman" w:hAnsi="Times New Roman" w:eastAsia="宋体"/>
        </w:rPr>
        <w:t>2.3.2 数据贡献与发布流程</w:t>
      </w:r>
    </w:p>
    <w:p>
      <w:r>
        <w:rPr>
          <w:rFonts w:ascii="Times New Roman" w:hAnsi="Times New Roman" w:eastAsia="宋体"/>
        </w:rPr>
        <w:t>一个新数据集进入GriddingMachine依次经历原始文件准备、YAML配置生成、标准产品生产、质量检查、NetCDF发布、目录登记以及下游更新与读取。质量检查覆盖维度、坐标、变量、数值范围、缺失值和空间方向；目录条目记录标签、逻辑路径、镜像地址、文件大小和SHA-256。机构FTP提高校内访问效率，Zenodo或其他公共存储面向社区提供长期访问，其他维护者也可在目录条目中增加内容相同的镜像。</w:t>
      </w:r>
    </w:p>
    <w:p>
      <w:r>
        <w:rPr>
          <w:rFonts w:ascii="Times New Roman" w:hAnsi="Times New Roman" w:eastAsia="宋体"/>
        </w:rPr>
        <w:t>数据贡献流程依据版本化指南贯通配置生成、标准化、质量检查、发布、目录登记和下游读取。最终NetCDF与目录项保持一致，并形成包含固定输入路径和完整YAML示例的贡献模板。</w:t>
      </w:r>
    </w:p>
    <w:p>
      <w:pPr>
        <w:pStyle w:val="Heading2"/>
      </w:pPr>
      <w:r>
        <w:rPr>
          <w:rFonts w:ascii="Times New Roman" w:hAnsi="Times New Roman" w:eastAsia="宋体"/>
        </w:rPr>
        <w:t>2.4 多镜像可信分发</w:t>
      </w:r>
    </w:p>
    <w:p>
      <w:pPr>
        <w:pStyle w:val="Heading3"/>
      </w:pPr>
      <w:r>
        <w:rPr>
          <w:rFonts w:ascii="Times New Roman" w:hAnsi="Times New Roman" w:eastAsia="宋体"/>
        </w:rPr>
        <w:t>2.4.1 目录初始化与更新</w:t>
      </w:r>
    </w:p>
    <w:p>
      <w:r>
        <w:rPr>
          <w:rFonts w:ascii="Consolas" w:hAnsi="Consolas" w:eastAsia="等线"/>
        </w:rPr>
        <w:t>GriddingMachine.jl</w:t>
      </w:r>
      <w:r>
        <w:rPr>
          <w:rFonts w:ascii="Times New Roman" w:hAnsi="Times New Roman" w:eastAsia="宋体"/>
        </w:rPr>
        <w:t>通过目录与数据获取模块（Collector）管理目录和标准产品。数据根目录、目录来源和本地目录文件均可显式配置；事务缓存区保存传输中的临时内容，正式数据区按照目录逻辑路径保存通过完整性校验的NetCDF。目录加载、版本更新和产品获取分别触发，使网络访问与科学数据读取保持清晰边界。</w:t>
      </w:r>
    </w:p>
    <w:p>
      <w:r>
        <w:rPr>
          <w:rFonts w:ascii="Times New Roman" w:hAnsi="Times New Roman" w:eastAsia="宋体"/>
        </w:rPr>
        <w:t>目录条目以数据标签为键，核心字段包括安全相对路径</w:t>
      </w:r>
      <w:r>
        <w:rPr>
          <w:rFonts w:ascii="Consolas" w:hAnsi="Consolas" w:eastAsia="等线"/>
        </w:rPr>
        <w:t>PATH</w:t>
      </w:r>
      <w:r>
        <w:rPr>
          <w:rFonts w:ascii="Times New Roman" w:hAnsi="Times New Roman" w:eastAsia="宋体"/>
        </w:rPr>
        <w:t>、一个或多个</w:t>
      </w:r>
      <w:r>
        <w:rPr>
          <w:rFonts w:ascii="Consolas" w:hAnsi="Consolas" w:eastAsia="等线"/>
        </w:rPr>
        <w:t>URL</w:t>
      </w:r>
      <w:r>
        <w:rPr>
          <w:rFonts w:ascii="Times New Roman" w:hAnsi="Times New Roman" w:eastAsia="宋体"/>
        </w:rPr>
        <w:t>以及正整数字节数</w:t>
      </w:r>
      <w:r>
        <w:rPr>
          <w:rFonts w:ascii="Consolas" w:hAnsi="Consolas" w:eastAsia="等线"/>
        </w:rPr>
        <w:t>SIZE</w:t>
      </w:r>
      <w:r>
        <w:rPr>
          <w:rFonts w:ascii="Times New Roman" w:hAnsi="Times New Roman" w:eastAsia="宋体"/>
        </w:rPr>
        <w:t>与64位十六进制</w:t>
      </w:r>
      <w:r>
        <w:rPr>
          <w:rFonts w:ascii="Consolas" w:hAnsi="Consolas" w:eastAsia="等线"/>
        </w:rPr>
        <w:t>SHA256</w:t>
      </w:r>
      <w:r>
        <w:rPr>
          <w:rFonts w:ascii="Times New Roman" w:hAnsi="Times New Roman" w:eastAsia="宋体"/>
        </w:rPr>
        <w:t>。加载时对标签字符、路径、URL协议和完整性字段执行schema校验，并提供路径、URL、信息和本地状态查询。可配置根目录与显式网络访问共同支持独立工作环境、离线复现和正式数据管理。</w:t>
      </w:r>
    </w:p>
    <w:p>
      <w:r>
        <w:rPr>
          <w:rFonts w:ascii="Times New Roman" w:hAnsi="Times New Roman" w:eastAsia="宋体"/>
        </w:rPr>
        <w:t>目录更新既支持直接YAML地址，也支持从Zenodo落地页解析目录文件。新目录先写入临时路径，完成根节点解析和schema校验后再替换正式文件，同时保留上一有效版本。该事务过程将远端目录获取、结构确认和版本切换连接为一个完整操作。</w:t>
      </w:r>
    </w:p>
    <w:p>
      <w:r>
        <w:rPr>
          <w:rFonts w:ascii="Times New Roman" w:hAnsi="Times New Roman" w:eastAsia="宋体"/>
        </w:rPr>
        <w:t>该机制实现目录与软件版本分离，并以事务替换和备份恢复保护有效目录。目录入口同时支持直接YAML地址与Zenodo落地页解析，适配独立发布与持续更新的数据目录。</w:t>
      </w:r>
    </w:p>
    <w:p>
      <w:pPr>
        <w:pStyle w:val="Heading3"/>
      </w:pPr>
      <w:r>
        <w:rPr>
          <w:rFonts w:ascii="Times New Roman" w:hAnsi="Times New Roman" w:eastAsia="宋体"/>
        </w:rPr>
        <w:t>2.4.2 镜像选择与事务式缓存</w:t>
      </w:r>
    </w:p>
    <w:p>
      <w:r>
        <w:rPr>
          <w:rFonts w:ascii="Times New Roman" w:hAnsi="Times New Roman" w:eastAsia="宋体"/>
        </w:rPr>
        <w:t>产品获取接口（</w:t>
      </w:r>
      <w:r>
        <w:rPr>
          <w:rFonts w:ascii="Consolas" w:hAnsi="Consolas" w:eastAsia="等线"/>
        </w:rPr>
        <w:t>download_dataset!</w:t>
      </w:r>
      <w:r>
        <w:rPr>
          <w:rFonts w:ascii="Times New Roman" w:hAnsi="Times New Roman" w:eastAsia="宋体"/>
        </w:rPr>
        <w:t>）以数据标签为入口，统一组织目录刷新、正式文件复用和远端传输。下载阶段从每个FTP或HTTP(S)地址提取主机名，以可获得的平均往返延迟生成候选顺序；其余地址按目录顺序保留，全部镜像共同组成完整回退队列。</w:t>
      </w:r>
    </w:p>
    <w:p>
      <w:r>
        <w:rPr>
          <w:rFonts w:ascii="Times New Roman" w:hAnsi="Times New Roman" w:eastAsia="宋体"/>
        </w:rPr>
        <w:t>下载循环按候选顺序逐一尝试镜像，每次尝试均写入进程级唯一的临时文件。程序核对文件生成状态、字节数和SHA-256；校验通过后以原子移动进入正式路径，各次尝试的临时内容随当前状态独立回收。严格完整性模式要求目录同时提供字节数和摘要，兼容模式承接历史目录。镜像遍历完成后返回数据标签和各候选状态的汇总信息，已有正式文件始终保持稳定。</w:t>
      </w:r>
    </w:p>
    <w:p>
      <w:r>
        <w:rPr>
          <w:rFonts w:ascii="Times New Roman" w:hAnsi="Times New Roman" w:eastAsia="宋体"/>
        </w:rPr>
        <w:t>延迟探测用于优化镜像尝试顺序，完整文件下载与</w:t>
      </w:r>
      <w:r>
        <w:rPr>
          <w:rFonts w:ascii="Consolas" w:hAnsi="Consolas" w:eastAsia="等线"/>
        </w:rPr>
        <w:t>SIZE/SHA256</w:t>
      </w:r>
      <w:r>
        <w:rPr>
          <w:rFonts w:ascii="Times New Roman" w:hAnsi="Times New Roman" w:eastAsia="宋体"/>
        </w:rPr>
        <w:t>核验共同确定数据产品的一致性。本文进一步在中科大校园网对同一文件分别执行FTP和Zenodo只读下载，以实际传输表现和SHA-256一致性共同评价镜像获取效果。</w:t>
      </w:r>
    </w:p>
    <w:p>
      <w:r>
        <w:rPr>
          <w:rFonts w:ascii="Times New Roman" w:hAnsi="Times New Roman" w:eastAsia="宋体"/>
        </w:rPr>
        <w:t>每次下载使用与标签和进程关联的独立临时文件，通过完整性校验后移动到正式路径。全库同步在更新目录后遍历标签并复用相同下载逻辑。小型目录参考数据呈现初始化、更新、同步、回退和清理行为，完整历史目录沿用同一事务机制开展批量维护。</w:t>
      </w:r>
    </w:p>
    <w:p>
      <w:r>
        <w:rPr>
          <w:rFonts w:ascii="Times New Roman" w:hAnsi="Times New Roman" w:eastAsia="宋体"/>
        </w:rPr>
        <w:t>镜像状态分析覆盖候选顺序、字节数、SHA-256、缓存恢复和镜像遍历等分发环节。跨操作系统运行与校园网FTP—Zenodo实测共同呈现“事务安全—镜像获取—内容一致”的分发链路。</w:t>
      </w:r>
    </w:p>
    <w:p>
      <w:r>
        <w:rPr>
          <w:rFonts w:ascii="Times New Roman" w:hAnsi="Times New Roman" w:eastAsia="宋体"/>
        </w:rPr>
        <w:t>目录与数据获取模块还提供全库同步、历史数据整理、目录树及数据集状态查询等维护接口。相关命令、参数和状态恢复方式集中列入补充材料与版本化用户指南，正文保留目录更新、镜像获取和内容完整性保障的核心机制。</w:t>
      </w:r>
    </w:p>
    <w:p>
      <w:pPr>
        <w:pStyle w:val="Heading2"/>
      </w:pPr>
      <w:r>
        <w:rPr>
          <w:rFonts w:ascii="Times New Roman" w:hAnsi="Times New Roman" w:eastAsia="宋体"/>
        </w:rPr>
        <w:t>2.5 统一读取与模型就绪接口</w:t>
      </w:r>
    </w:p>
    <w:p>
      <w:pPr>
        <w:pStyle w:val="Heading3"/>
      </w:pPr>
      <w:r>
        <w:rPr>
          <w:rFonts w:ascii="Times New Roman" w:hAnsi="Times New Roman" w:eastAsia="宋体"/>
        </w:rPr>
        <w:t>2.5.1 标准网格数据读取</w:t>
      </w:r>
    </w:p>
    <w:p>
      <w:r>
        <w:rPr>
          <w:rFonts w:ascii="Times New Roman" w:hAnsi="Times New Roman" w:eastAsia="宋体"/>
        </w:rPr>
        <w:t>标准网格数据读取接口支持以本地NetCDF路径或数据标签访问产品，并提供整场数组、指定周期切片、站点全部周期和站点指定周期4种读取方式。标签对应的产品可由目录模块自动获取；默认返回标准变量</w:t>
      </w:r>
      <w:r>
        <w:rPr>
          <w:rFonts w:ascii="Consolas" w:hAnsi="Consolas" w:eastAsia="等线"/>
        </w:rPr>
        <w:t>data</w:t>
      </w:r>
      <w:r>
        <w:rPr>
          <w:rFonts w:ascii="Times New Roman" w:hAnsi="Times New Roman" w:eastAsia="宋体"/>
        </w:rPr>
        <w:t>，也可读取原始数值或同形不确定性变量</w:t>
      </w:r>
      <w:r>
        <w:rPr>
          <w:rFonts w:ascii="Consolas" w:hAnsi="Consolas" w:eastAsia="等线"/>
        </w:rPr>
        <w:t>std</w:t>
      </w:r>
      <w:r>
        <w:rPr>
          <w:rFonts w:ascii="Times New Roman" w:hAnsi="Times New Roman" w:eastAsia="宋体"/>
        </w:rPr>
        <w:t>。该接口在代码中实现为</w:t>
      </w:r>
      <w:r>
        <w:rPr>
          <w:rFonts w:ascii="Consolas" w:hAnsi="Consolas" w:eastAsia="等线"/>
        </w:rPr>
        <w:t>read_dataset</w:t>
      </w:r>
      <w:r>
        <w:rPr>
          <w:rFonts w:ascii="Times New Roman" w:hAnsi="Times New Roman" w:eastAsia="宋体"/>
        </w:rPr>
        <w:t>，并以</w:t>
      </w:r>
      <w:r>
        <w:rPr>
          <w:rFonts w:ascii="Consolas" w:hAnsi="Consolas" w:eastAsia="等线"/>
        </w:rPr>
        <w:t>read_LUT</w:t>
      </w:r>
      <w:r>
        <w:rPr>
          <w:rFonts w:ascii="Times New Roman" w:hAnsi="Times New Roman" w:eastAsia="宋体"/>
        </w:rPr>
        <w:t>兼容既有调用。读取层直接继承生产端统一的单位、缺失值和物理范围，使处理规则集中于共享生产契约。</w:t>
      </w:r>
    </w:p>
    <w:p>
      <w:r>
        <w:rPr>
          <w:rFonts w:ascii="Times New Roman" w:hAnsi="Times New Roman" w:eastAsia="宋体"/>
        </w:rPr>
        <w:t>站点读取依据全球规则经纬网分辨率把经纬度映射为数组索引，并以标准文件的</w:t>
      </w:r>
      <w:r>
        <w:rPr>
          <w:rFonts w:ascii="Consolas" w:hAnsi="Consolas" w:eastAsia="等线"/>
        </w:rPr>
        <w:t>(lon,lat[,ind])</w:t>
      </w:r>
      <w:r>
        <w:rPr>
          <w:rFonts w:ascii="Times New Roman" w:hAnsi="Times New Roman" w:eastAsia="宋体"/>
        </w:rPr>
        <w:t>顺序及西向东、南向北排列为输入契约。接口面向全球规则网格的原位索引，区域投影、非规则网格和空间插值可在生产端完成标准化；周期索引的月份、日期或小时含义由对应产品元数据解释。</w:t>
      </w:r>
    </w:p>
    <w:p>
      <w:pPr>
        <w:pStyle w:val="Heading3"/>
      </w:pPr>
      <w:r>
        <w:rPr>
          <w:rFonts w:ascii="Times New Roman" w:hAnsi="Times New Roman" w:eastAsia="宋体"/>
        </w:rPr>
        <w:t>2.5.2 模型参数与气象驱动组织</w:t>
      </w:r>
    </w:p>
    <w:p>
      <w:r>
        <w:rPr>
          <w:rFonts w:ascii="Times New Roman" w:hAnsi="Times New Roman" w:eastAsia="宋体"/>
        </w:rPr>
        <w:t>格点尺度陆面参数组织接口（</w:t>
      </w:r>
      <w:r>
        <w:rPr>
          <w:rFonts w:ascii="Consolas" w:hAnsi="Consolas" w:eastAsia="等线"/>
        </w:rPr>
        <w:t>grid_dict</w:t>
      </w:r>
      <w:r>
        <w:rPr>
          <w:rFonts w:ascii="Times New Roman" w:hAnsi="Times New Roman" w:eastAsia="宋体"/>
        </w:rPr>
        <w:t>）从预定义产品集合中提取土壤、冠层、叶片、地形、陆地掩膜和植物功能型数据，依据陆面状态融合相应参数，并对叶面积指数、叶绿素、冠层聚集度和最大羧化速率等季节序列执行Gapfill与逐日重采样。第二套陆面参数集合</w:t>
      </w:r>
      <w:r>
        <w:rPr>
          <w:rFonts w:ascii="Consolas" w:hAnsi="Consolas" w:eastAsia="等线"/>
        </w:rPr>
        <w:t>gm2</w:t>
      </w:r>
      <w:r>
        <w:rPr>
          <w:rFonts w:ascii="Times New Roman" w:hAnsi="Times New Roman" w:eastAsia="宋体"/>
        </w:rPr>
        <w:t>由14类标准产品组成，其中冠层聚集度采用月尺度产品，其余字段按各自空间与时间分辨率进入统一格点。</w:t>
      </w:r>
    </w:p>
    <w:p>
      <w:r>
        <w:rPr>
          <w:rFonts w:ascii="Times New Roman" w:hAnsi="Times New Roman" w:eastAsia="宋体"/>
        </w:rPr>
        <w:t>植物功能型比例进一步用于融合C3/C4植被的叶片光学参数和Medlyn气孔参数，并由</w:t>
      </w:r>
      <w:r>
        <w:rPr>
          <w:rFonts w:ascii="Consolas" w:hAnsi="Consolas" w:eastAsia="等线"/>
        </w:rPr>
        <w:t>VCMAX25</w:t>
      </w:r>
      <w:r>
        <w:rPr>
          <w:rFonts w:ascii="Times New Roman" w:hAnsi="Times New Roman" w:eastAsia="宋体"/>
        </w:rPr>
        <w:t>推导</w:t>
      </w:r>
      <w:r>
        <w:rPr>
          <w:rFonts w:ascii="Consolas" w:hAnsi="Consolas" w:eastAsia="等线"/>
        </w:rPr>
        <w:t>JMAX25</w:t>
      </w:r>
      <w:r>
        <w:rPr>
          <w:rFonts w:ascii="Times New Roman" w:hAnsi="Times New Roman" w:eastAsia="宋体"/>
        </w:rPr>
        <w:t>和</w:t>
      </w:r>
      <w:r>
        <w:rPr>
          <w:rFonts w:ascii="Consolas" w:hAnsi="Consolas" w:eastAsia="等线"/>
        </w:rPr>
        <w:t>B6F</w:t>
      </w:r>
      <w:r>
        <w:rPr>
          <w:rFonts w:ascii="Times New Roman" w:hAnsi="Times New Roman" w:eastAsia="宋体"/>
        </w:rPr>
        <w:t>。输出涵盖位置、分辨率、年份、CO₂、土壤水力性质、冠层结构、植物功能型组成、叶片生物物理和光合参数；字段完整性与</w:t>
      </w:r>
      <w:r>
        <w:rPr>
          <w:rFonts w:ascii="Consolas" w:hAnsi="Consolas" w:eastAsia="等线"/>
        </w:rPr>
        <w:t>NaN</w:t>
      </w:r>
      <w:r>
        <w:rPr>
          <w:rFonts w:ascii="Times New Roman" w:hAnsi="Times New Roman" w:eastAsia="宋体"/>
        </w:rPr>
        <w:t>状态同步进入质量控制。多个标准产品由此形成结构一致的格点级模型输入。</w:t>
      </w:r>
    </w:p>
    <w:p>
      <w:r>
        <w:rPr>
          <w:rFonts w:ascii="Times New Roman" w:hAnsi="Times New Roman" w:eastAsia="宋体"/>
        </w:rPr>
        <w:t>格点尺度气象驱动接口（</w:t>
      </w:r>
      <w:r>
        <w:rPr>
          <w:rFonts w:ascii="Consolas" w:hAnsi="Consolas" w:eastAsia="等线"/>
        </w:rPr>
        <w:t>grid_weather</w:t>
      </w:r>
      <w:r>
        <w:rPr>
          <w:rFonts w:ascii="Times New Roman" w:hAnsi="Times New Roman" w:eastAsia="宋体"/>
        </w:rPr>
        <w:t>）按年份和格点读取气象驱动集合</w:t>
      </w:r>
      <w:r>
        <w:rPr>
          <w:rFonts w:ascii="Consolas" w:hAnsi="Consolas" w:eastAsia="等线"/>
        </w:rPr>
        <w:t>wd1</w:t>
      </w:r>
      <w:r>
        <w:rPr>
          <w:rFonts w:ascii="Times New Roman" w:hAnsi="Times New Roman" w:eastAsia="宋体"/>
        </w:rPr>
        <w:t>中的8类ERA5产品，分别提取地表气压、降水、漫射与直射短波辐射、长波辐射、气温、水汽压亏缺和风速，并依据格点经度换算时区偏移、构建浮点年积日</w:t>
      </w:r>
      <w:r>
        <w:rPr>
          <w:rFonts w:ascii="Consolas" w:hAnsi="Consolas" w:eastAsia="等线"/>
        </w:rPr>
        <w:t>FDOY</w:t>
      </w:r>
      <w:r>
        <w:rPr>
          <w:rFonts w:ascii="Times New Roman" w:hAnsi="Times New Roman" w:eastAsia="宋体"/>
        </w:rPr>
        <w:t>。接口既可直接按经纬度读取，也可从已经加载的全局气象数组提取格点序列，输出字段完整性与</w:t>
      </w:r>
      <w:r>
        <w:rPr>
          <w:rFonts w:ascii="Consolas" w:hAnsi="Consolas" w:eastAsia="等线"/>
        </w:rPr>
        <w:t>NaN</w:t>
      </w:r>
      <w:r>
        <w:rPr>
          <w:rFonts w:ascii="Times New Roman" w:hAnsi="Times New Roman" w:eastAsia="宋体"/>
        </w:rPr>
        <w:t>状态同步进入质量控制。</w:t>
      </w:r>
    </w:p>
    <w:p>
      <w:r>
        <w:rPr>
          <w:rFonts w:ascii="Times New Roman" w:hAnsi="Times New Roman" w:eastAsia="宋体"/>
        </w:rPr>
        <w:t>标签驱动的数据访问、陆面参数融合与气象驱动组织共同构成模型就绪转换层。标准产品在这一层被组织为结构一致的陆面参数和逐时气象字段，并与Emerald模型的数据结构相衔接。</w:t>
      </w:r>
    </w:p>
    <w:p>
      <w:pPr>
        <w:pStyle w:val="Heading2"/>
      </w:pPr>
      <w:r>
        <w:rPr>
          <w:rFonts w:ascii="Times New Roman" w:hAnsi="Times New Roman" w:eastAsia="宋体"/>
        </w:rPr>
        <w:t>2.6 端到端数据流与公共接口</w:t>
      </w:r>
    </w:p>
    <w:p>
      <w:r>
        <w:rPr>
          <w:rFonts w:ascii="Times New Roman" w:hAnsi="Times New Roman" w:eastAsia="宋体"/>
        </w:rPr>
        <w:t>与2022版通过标签组织数据访问的思路一致[4]，新版将目录配置与更新、完整性下载、标准网格读取和模型输入组织连接为稳定的公共数据流。用户以数据标签发现产品，经镜像选择和内容校验获得标准NetCDF，再读取整场、周期或格点数据，并进一步形成陆面参数或气象驱动。公共接口依次对应环境配置（</w:t>
      </w:r>
      <w:r>
        <w:rPr>
          <w:rFonts w:ascii="Consolas" w:hAnsi="Consolas" w:eastAsia="等线"/>
        </w:rPr>
        <w:t>configure!</w:t>
      </w:r>
      <w:r>
        <w:rPr>
          <w:rFonts w:ascii="Times New Roman" w:hAnsi="Times New Roman" w:eastAsia="宋体"/>
        </w:rPr>
        <w:t>）、目录更新（</w:t>
      </w:r>
      <w:r>
        <w:rPr>
          <w:rFonts w:ascii="Consolas" w:hAnsi="Consolas" w:eastAsia="等线"/>
        </w:rPr>
        <w:t>update_database!</w:t>
      </w:r>
      <w:r>
        <w:rPr>
          <w:rFonts w:ascii="Times New Roman" w:hAnsi="Times New Roman" w:eastAsia="宋体"/>
        </w:rPr>
        <w:t>）、产品获取（</w:t>
      </w:r>
      <w:r>
        <w:rPr>
          <w:rFonts w:ascii="Consolas" w:hAnsi="Consolas" w:eastAsia="等线"/>
        </w:rPr>
        <w:t>download_dataset!</w:t>
      </w:r>
      <w:r>
        <w:rPr>
          <w:rFonts w:ascii="Times New Roman" w:hAnsi="Times New Roman" w:eastAsia="宋体"/>
        </w:rPr>
        <w:t>）、标准读取（</w:t>
      </w:r>
      <w:r>
        <w:rPr>
          <w:rFonts w:ascii="Consolas" w:hAnsi="Consolas" w:eastAsia="等线"/>
        </w:rPr>
        <w:t>read_dataset</w:t>
      </w:r>
      <w:r>
        <w:rPr>
          <w:rFonts w:ascii="Times New Roman" w:hAnsi="Times New Roman" w:eastAsia="宋体"/>
        </w:rPr>
        <w:t>）和模型输入组织（</w:t>
      </w:r>
      <w:r>
        <w:rPr>
          <w:rFonts w:ascii="Consolas" w:hAnsi="Consolas" w:eastAsia="等线"/>
        </w:rPr>
        <w:t>grid_dict</w:t>
      </w:r>
      <w:r>
        <w:rPr>
          <w:rFonts w:ascii="Times New Roman" w:hAnsi="Times New Roman" w:eastAsia="宋体"/>
        </w:rPr>
        <w:t>、</w:t>
      </w:r>
      <w:r>
        <w:rPr>
          <w:rFonts w:ascii="Consolas" w:hAnsi="Consolas" w:eastAsia="等线"/>
        </w:rPr>
        <w:t>grid_weather</w:t>
      </w:r>
      <w:r>
        <w:rPr>
          <w:rFonts w:ascii="Times New Roman" w:hAnsi="Times New Roman" w:eastAsia="宋体"/>
        </w:rPr>
        <w:t>）；完整Julia示例、配置字段字典、目录登记及状态恢复命令集中列入补充材料与版本化用户指南。</w:t>
      </w:r>
    </w:p>
    <w:p>
      <w:pPr>
        <w:pStyle w:val="Heading1"/>
      </w:pPr>
      <w:r>
        <w:rPr>
          <w:rFonts w:ascii="Times New Roman" w:hAnsi="Times New Roman" w:eastAsia="宋体"/>
        </w:rPr>
        <w:t>3 应用案例与评价方法</w:t>
      </w:r>
    </w:p>
    <w:p>
      <w:pPr>
        <w:pStyle w:val="Heading2"/>
      </w:pPr>
      <w:r>
        <w:rPr>
          <w:rFonts w:ascii="Times New Roman" w:hAnsi="Times New Roman" w:eastAsia="宋体"/>
        </w:rPr>
        <w:t>3.1 标准产品生产与OISST案例</w:t>
      </w:r>
    </w:p>
    <w:p>
      <w:r>
        <w:rPr>
          <w:rFonts w:ascii="Times New Roman" w:hAnsi="Times New Roman" w:eastAsia="宋体"/>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宋体"/>
        </w:rPr>
        <w:t>代表性处理实例包括</w:t>
      </w:r>
      <w:r>
        <w:rPr>
          <w:rFonts w:ascii="Consolas" w:hAnsi="Consolas" w:eastAsia="等线"/>
        </w:rPr>
        <w:t>(lon,lat)</w:t>
      </w:r>
      <w:r>
        <w:rPr>
          <w:rFonts w:ascii="Times New Roman" w:hAnsi="Times New Roman" w:eastAsia="宋体"/>
        </w:rPr>
        <w:t>与</w:t>
      </w:r>
      <w:r>
        <w:rPr>
          <w:rFonts w:ascii="Consolas" w:hAnsi="Consolas" w:eastAsia="等线"/>
        </w:rPr>
        <w:t>(lon,lat,ind)</w:t>
      </w:r>
      <w:r>
        <w:rPr>
          <w:rFonts w:ascii="Times New Roman" w:hAnsi="Times New Roman" w:eastAsia="宋体"/>
        </w:rPr>
        <w:t>标准输入、</w:t>
      </w:r>
      <w:r>
        <w:rPr>
          <w:rFonts w:ascii="Consolas" w:hAnsi="Consolas" w:eastAsia="等线"/>
        </w:rPr>
        <w:t>(lat,lon)</w:t>
      </w:r>
      <w:r>
        <w:rPr>
          <w:rFonts w:ascii="Times New Roman" w:hAnsi="Times New Roman" w:eastAsia="宋体"/>
        </w:rPr>
        <w:t>与</w:t>
      </w:r>
      <w:r>
        <w:rPr>
          <w:rFonts w:ascii="Consolas" w:hAnsi="Consolas" w:eastAsia="等线"/>
        </w:rPr>
        <w:t>(ind,lat,lon)</w:t>
      </w:r>
      <w:r>
        <w:rPr>
          <w:rFonts w:ascii="Times New Roman" w:hAnsi="Times New Roman" w:eastAsia="宋体"/>
        </w:rPr>
        <w:t>源排列、纬度和经度翻转、</w:t>
      </w:r>
      <w:r>
        <w:rPr>
          <w:rFonts w:ascii="Consolas" w:hAnsi="Consolas" w:eastAsia="等线"/>
        </w:rPr>
        <w:t>0～360°</w:t>
      </w:r>
      <w:r>
        <w:rPr>
          <w:rFonts w:ascii="Times New Roman" w:hAnsi="Times New Roman" w:eastAsia="宋体"/>
        </w:rPr>
        <w:t>经度平移、线性缩放、范围过滤、Gapfill、</w:t>
      </w:r>
      <w:r>
        <w:rPr>
          <w:rFonts w:ascii="Consolas" w:hAnsi="Consolas" w:eastAsia="等线"/>
        </w:rPr>
        <w:t>data/std</w:t>
      </w:r>
      <w:r>
        <w:rPr>
          <w:rFonts w:ascii="Times New Roman" w:hAnsi="Times New Roman" w:eastAsia="宋体"/>
        </w:rPr>
        <w:t>保存和标签生成。配置字段、变量数量、已有产品和标签状态共同覆盖标准产品从源数据到目录登记的主要环节。</w:t>
      </w:r>
    </w:p>
    <w:p>
      <w:r>
        <w:rPr>
          <w:rFonts w:ascii="Times New Roman" w:hAnsi="Times New Roman" w:eastAsia="宋体"/>
        </w:rPr>
        <w:t>表3从维度（D）、坐标（C）、数值（N）、Gapfill（G）、YAML配置（Y）、输出（O）和空间方向检查（V）7个方面组织31组代表性处理实例。各组对应共享生产契约中的一个关键环节，并以结构、数值或产品状态表征标准化结果。</w:t>
      </w:r>
    </w:p>
    <w:p>
      <w:pPr>
        <w:ind w:firstLine="0"/>
      </w:pPr>
      <w:r>
        <w:rPr>
          <w:rFonts w:ascii="Times New Roman" w:hAnsi="Times New Roman" w:eastAsia="宋体"/>
          <w:b/>
        </w:rPr>
        <w:t>表3 GriddingMachineDatasets标准产品生产能力与质量控制</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实例数</w:t>
            </w:r>
          </w:p>
        </w:tc>
        <w:tc>
          <w:tcPr>
            <w:tcW w:type="dxa" w:w="2295"/>
            <w:shd w:fill="D9EAF7"/>
          </w:tcPr>
          <w:p>
            <w:r>
              <w:rPr>
                <w:b/>
                <w:sz w:val="18"/>
              </w:rPr>
            </w:r>
            <w:r>
              <w:rPr>
                <w:rFonts w:ascii="Times New Roman" w:hAnsi="Times New Roman" w:eastAsia="宋体"/>
                <w:b/>
                <w:sz w:val="18"/>
              </w:rPr>
              <w:t>主要内容</w:t>
            </w:r>
          </w:p>
        </w:tc>
        <w:tc>
          <w:tcPr>
            <w:tcW w:type="dxa" w:w="2295"/>
            <w:shd w:fill="D9EAF7"/>
          </w:tcPr>
          <w:p>
            <w:r>
              <w:rPr>
                <w:b/>
                <w:sz w:val="18"/>
              </w:rPr>
            </w:r>
            <w:r>
              <w:rPr>
                <w:rFonts w:ascii="Times New Roman" w:hAnsi="Times New Roman" w:eastAsia="宋体"/>
                <w:b/>
                <w:sz w:val="18"/>
              </w:rPr>
              <w:t>处理结果</w:t>
            </w:r>
          </w:p>
        </w:tc>
      </w:tr>
      <w:tr>
        <w:tc>
          <w:tcPr>
            <w:tcW w:type="dxa" w:w="2295"/>
          </w:tcPr>
          <w:p>
            <w:r>
              <w:rPr>
                <w:sz w:val="18"/>
              </w:rPr>
            </w:r>
            <w:r>
              <w:rPr>
                <w:rFonts w:ascii="Times New Roman" w:hAnsi="Times New Roman" w:eastAsia="宋体"/>
                <w:sz w:val="18"/>
              </w:rPr>
              <w:t>D 维度</w:t>
            </w:r>
          </w:p>
        </w:tc>
        <w:tc>
          <w:tcPr>
            <w:tcW w:type="dxa" w:w="2295"/>
          </w:tcPr>
          <w:p>
            <w:r>
              <w:rPr>
                <w:sz w:val="18"/>
              </w:rPr>
            </w:r>
            <w:r>
              <w:rPr>
                <w:rFonts w:ascii="Times New Roman" w:hAnsi="Times New Roman" w:eastAsia="宋体"/>
                <w:sz w:val="18"/>
              </w:rPr>
              <w:t>5</w:t>
            </w:r>
          </w:p>
        </w:tc>
        <w:tc>
          <w:tcPr>
            <w:tcW w:type="dxa" w:w="2295"/>
          </w:tcPr>
          <w:p>
            <w:r>
              <w:rPr>
                <w:sz w:val="18"/>
              </w:rPr>
            </w:r>
            <w:r>
              <w:rPr>
                <w:rFonts w:ascii="Times New Roman" w:hAnsi="Times New Roman" w:eastAsia="宋体"/>
                <w:sz w:val="18"/>
              </w:rPr>
              <w:t>2D/3D标准顺序、</w:t>
            </w:r>
            <w:r>
              <w:rPr>
                <w:rFonts w:ascii="Consolas" w:hAnsi="Consolas" w:eastAsia="等线"/>
                <w:sz w:val="18"/>
              </w:rPr>
              <w:t>(lat,lon)</w:t>
            </w:r>
            <w:r>
              <w:rPr>
                <w:rFonts w:ascii="Times New Roman" w:hAnsi="Times New Roman" w:eastAsia="宋体"/>
                <w:sz w:val="18"/>
              </w:rPr>
              <w:t>、</w:t>
            </w:r>
            <w:r>
              <w:rPr>
                <w:rFonts w:ascii="Consolas" w:hAnsi="Consolas" w:eastAsia="等线"/>
                <w:sz w:val="18"/>
              </w:rPr>
              <w:t>(ind,lat,lon)</w:t>
            </w:r>
            <w:r>
              <w:rPr>
                <w:rFonts w:ascii="Times New Roman" w:hAnsi="Times New Roman" w:eastAsia="宋体"/>
                <w:sz w:val="18"/>
              </w:rPr>
              <w:t>和维度约束</w:t>
            </w:r>
          </w:p>
        </w:tc>
        <w:tc>
          <w:tcPr>
            <w:tcW w:type="dxa" w:w="2295"/>
          </w:tcPr>
          <w:p>
            <w:r>
              <w:rPr>
                <w:sz w:val="18"/>
              </w:rPr>
            </w:r>
            <w:r>
              <w:rPr>
                <w:rFonts w:ascii="Times New Roman" w:hAnsi="Times New Roman" w:eastAsia="宋体"/>
                <w:sz w:val="18"/>
              </w:rPr>
              <w:t>输出形状、维度名及逐点位置</w:t>
            </w:r>
          </w:p>
        </w:tc>
      </w:tr>
      <w:tr>
        <w:tc>
          <w:tcPr>
            <w:tcW w:type="dxa" w:w="2295"/>
          </w:tcPr>
          <w:p>
            <w:r>
              <w:rPr>
                <w:sz w:val="18"/>
              </w:rPr>
            </w:r>
            <w:r>
              <w:rPr>
                <w:rFonts w:ascii="Times New Roman" w:hAnsi="Times New Roman" w:eastAsia="宋体"/>
                <w:sz w:val="18"/>
              </w:rPr>
              <w:t>C 坐标</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纬度翻转、经度翻转、</w:t>
            </w:r>
            <w:r>
              <w:rPr>
                <w:rFonts w:ascii="Consolas" w:hAnsi="Consolas" w:eastAsia="等线"/>
                <w:sz w:val="18"/>
              </w:rPr>
              <w:t>0～360°</w:t>
            </w:r>
            <w:r>
              <w:rPr>
                <w:rFonts w:ascii="Times New Roman" w:hAnsi="Times New Roman" w:eastAsia="宋体"/>
                <w:sz w:val="18"/>
              </w:rPr>
              <w:t>平移、组合变换</w:t>
            </w:r>
          </w:p>
        </w:tc>
        <w:tc>
          <w:tcPr>
            <w:tcW w:type="dxa" w:w="2295"/>
          </w:tcPr>
          <w:p>
            <w:r>
              <w:rPr>
                <w:sz w:val="18"/>
              </w:rPr>
            </w:r>
            <w:r>
              <w:rPr>
                <w:rFonts w:ascii="Times New Roman" w:hAnsi="Times New Roman" w:eastAsia="宋体"/>
                <w:sz w:val="18"/>
              </w:rPr>
              <w:t>坐标方向及位置编码值</w:t>
            </w:r>
          </w:p>
        </w:tc>
      </w:tr>
      <w:tr>
        <w:tc>
          <w:tcPr>
            <w:tcW w:type="dxa" w:w="2295"/>
          </w:tcPr>
          <w:p>
            <w:r>
              <w:rPr>
                <w:sz w:val="18"/>
              </w:rPr>
            </w:r>
            <w:r>
              <w:rPr>
                <w:rFonts w:ascii="Times New Roman" w:hAnsi="Times New Roman" w:eastAsia="宋体"/>
                <w:sz w:val="18"/>
              </w:rPr>
              <w:t>N 数值</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Float32、线性缩放、有效范围和原值处理</w:t>
            </w:r>
          </w:p>
        </w:tc>
        <w:tc>
          <w:tcPr>
            <w:tcW w:type="dxa" w:w="2295"/>
          </w:tcPr>
          <w:p>
            <w:r>
              <w:rPr>
                <w:sz w:val="18"/>
              </w:rPr>
            </w:r>
            <w:r>
              <w:rPr>
                <w:rFonts w:ascii="Times New Roman" w:hAnsi="Times New Roman" w:eastAsia="宋体"/>
                <w:sz w:val="18"/>
              </w:rPr>
              <w:t>最大绝对和相对误差、NaN掩膜</w:t>
            </w:r>
          </w:p>
        </w:tc>
      </w:tr>
      <w:tr>
        <w:tc>
          <w:tcPr>
            <w:tcW w:type="dxa" w:w="2295"/>
          </w:tcPr>
          <w:p>
            <w:r>
              <w:rPr>
                <w:sz w:val="18"/>
              </w:rPr>
            </w:r>
            <w:r>
              <w:rPr>
                <w:rFonts w:ascii="Times New Roman" w:hAnsi="Times New Roman" w:eastAsia="宋体"/>
                <w:sz w:val="18"/>
              </w:rPr>
              <w:t>G Gapfill</w:t>
            </w:r>
          </w:p>
        </w:tc>
        <w:tc>
          <w:tcPr>
            <w:tcW w:type="dxa" w:w="2295"/>
          </w:tcPr>
          <w:p>
            <w:r>
              <w:rPr>
                <w:sz w:val="18"/>
              </w:rPr>
            </w:r>
            <w:r>
              <w:rPr>
                <w:rFonts w:ascii="Times New Roman" w:hAnsi="Times New Roman" w:eastAsia="宋体"/>
                <w:sz w:val="18"/>
              </w:rPr>
              <w:t>8</w:t>
            </w:r>
          </w:p>
        </w:tc>
        <w:tc>
          <w:tcPr>
            <w:tcW w:type="dxa" w:w="2295"/>
          </w:tcPr>
          <w:p>
            <w:r>
              <w:rPr>
                <w:sz w:val="18"/>
              </w:rPr>
            </w:r>
            <w:r>
              <w:rPr>
                <w:rFonts w:ascii="Times New Roman" w:hAnsi="Times New Roman" w:eastAsia="宋体"/>
                <w:sz w:val="18"/>
              </w:rPr>
              <w:t>常数、</w:t>
            </w:r>
            <w:r>
              <w:rPr>
                <w:rFonts w:ascii="Consolas" w:hAnsi="Consolas" w:eastAsia="等线"/>
                <w:sz w:val="18"/>
              </w:rPr>
              <w:t>nanmean</w:t>
            </w:r>
            <w:r>
              <w:rPr>
                <w:rFonts w:ascii="Times New Roman" w:hAnsi="Times New Roman" w:eastAsia="宋体"/>
                <w:sz w:val="18"/>
              </w:rPr>
              <w:t>、原值保持、陆地完整、全域完整和整数化</w:t>
            </w:r>
          </w:p>
        </w:tc>
        <w:tc>
          <w:tcPr>
            <w:tcW w:type="dxa" w:w="2295"/>
          </w:tcPr>
          <w:p>
            <w:r>
              <w:rPr>
                <w:sz w:val="18"/>
              </w:rPr>
            </w:r>
            <w:r>
              <w:rPr>
                <w:rFonts w:ascii="Times New Roman" w:hAnsi="Times New Roman" w:eastAsia="宋体"/>
                <w:sz w:val="18"/>
              </w:rPr>
              <w:t>填补位置、填充值、覆盖范围和处理记录</w:t>
            </w:r>
          </w:p>
        </w:tc>
      </w:tr>
      <w:tr>
        <w:tc>
          <w:tcPr>
            <w:tcW w:type="dxa" w:w="2295"/>
          </w:tcPr>
          <w:p>
            <w:r>
              <w:rPr>
                <w:sz w:val="18"/>
              </w:rPr>
            </w:r>
            <w:r>
              <w:rPr>
                <w:rFonts w:ascii="Times New Roman" w:hAnsi="Times New Roman" w:eastAsia="宋体"/>
                <w:sz w:val="18"/>
              </w:rPr>
              <w:t>Y 配置</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最小配置、字段完整性、构建器生成配置、数组长度一致性</w:t>
            </w:r>
          </w:p>
        </w:tc>
        <w:tc>
          <w:tcPr>
            <w:tcW w:type="dxa" w:w="2295"/>
          </w:tcPr>
          <w:p>
            <w:r>
              <w:rPr>
                <w:sz w:val="18"/>
              </w:rPr>
            </w:r>
            <w:r>
              <w:rPr>
                <w:rFonts w:ascii="Times New Roman" w:hAnsi="Times New Roman" w:eastAsia="宋体"/>
                <w:sz w:val="18"/>
              </w:rPr>
              <w:t>配置解析、字段定位和产品生成</w:t>
            </w:r>
          </w:p>
        </w:tc>
      </w:tr>
      <w:tr>
        <w:tc>
          <w:tcPr>
            <w:tcW w:type="dxa" w:w="2295"/>
          </w:tcPr>
          <w:p>
            <w:r>
              <w:rPr>
                <w:sz w:val="18"/>
              </w:rPr>
            </w:r>
            <w:r>
              <w:rPr>
                <w:rFonts w:ascii="Times New Roman" w:hAnsi="Times New Roman" w:eastAsia="宋体"/>
                <w:sz w:val="18"/>
              </w:rPr>
              <w:t>O 输出</w:t>
            </w:r>
          </w:p>
        </w:tc>
        <w:tc>
          <w:tcPr>
            <w:tcW w:type="dxa" w:w="2295"/>
          </w:tcPr>
          <w:p>
            <w:r>
              <w:rPr>
                <w:sz w:val="18"/>
              </w:rPr>
            </w:r>
            <w:r>
              <w:rPr>
                <w:rFonts w:ascii="Times New Roman" w:hAnsi="Times New Roman" w:eastAsia="宋体"/>
                <w:sz w:val="18"/>
              </w:rPr>
              <w:t>4</w:t>
            </w:r>
          </w:p>
        </w:tc>
        <w:tc>
          <w:tcPr>
            <w:tcW w:type="dxa" w:w="2295"/>
          </w:tcPr>
          <w:p>
            <w:r>
              <w:rPr>
                <w:sz w:val="18"/>
              </w:rPr>
            </w:r>
            <w:r>
              <w:rPr>
                <w:rFonts w:ascii="Consolas" w:hAnsi="Consolas" w:eastAsia="等线"/>
                <w:sz w:val="18"/>
              </w:rPr>
              <w:t>data</w:t>
            </w:r>
            <w:r>
              <w:rPr>
                <w:rFonts w:ascii="Times New Roman" w:hAnsi="Times New Roman" w:eastAsia="宋体"/>
                <w:sz w:val="18"/>
              </w:rPr>
              <w:t>、</w:t>
            </w:r>
            <w:r>
              <w:rPr>
                <w:rFonts w:ascii="Consolas" w:hAnsi="Consolas" w:eastAsia="等线"/>
                <w:sz w:val="18"/>
              </w:rPr>
              <w:t>std</w:t>
            </w:r>
            <w:r>
              <w:rPr>
                <w:rFonts w:ascii="Times New Roman" w:hAnsi="Times New Roman" w:eastAsia="宋体"/>
                <w:sz w:val="18"/>
              </w:rPr>
              <w:t>、已有文件、标签状态</w:t>
            </w:r>
          </w:p>
        </w:tc>
        <w:tc>
          <w:tcPr>
            <w:tcW w:type="dxa" w:w="2295"/>
          </w:tcPr>
          <w:p>
            <w:r>
              <w:rPr>
                <w:sz w:val="18"/>
              </w:rPr>
            </w:r>
            <w:r>
              <w:rPr>
                <w:rFonts w:ascii="Times New Roman" w:hAnsi="Times New Roman" w:eastAsia="宋体"/>
                <w:sz w:val="18"/>
              </w:rPr>
              <w:t>变量、属性、版本策略和标签唯一性</w:t>
            </w:r>
          </w:p>
        </w:tc>
      </w:tr>
      <w:tr>
        <w:tc>
          <w:tcPr>
            <w:tcW w:type="dxa" w:w="2295"/>
          </w:tcPr>
          <w:p>
            <w:r>
              <w:rPr>
                <w:sz w:val="18"/>
              </w:rPr>
            </w:r>
            <w:r>
              <w:rPr>
                <w:rFonts w:ascii="Times New Roman" w:hAnsi="Times New Roman" w:eastAsia="宋体"/>
                <w:sz w:val="18"/>
              </w:rPr>
              <w:t>V 方向检查</w:t>
            </w:r>
          </w:p>
        </w:tc>
        <w:tc>
          <w:tcPr>
            <w:tcW w:type="dxa" w:w="2295"/>
          </w:tcPr>
          <w:p>
            <w:r>
              <w:rPr>
                <w:sz w:val="18"/>
              </w:rPr>
            </w:r>
            <w:r>
              <w:rPr>
                <w:rFonts w:ascii="Times New Roman" w:hAnsi="Times New Roman" w:eastAsia="宋体"/>
                <w:sz w:val="18"/>
              </w:rPr>
              <w:t>2</w:t>
            </w:r>
          </w:p>
        </w:tc>
        <w:tc>
          <w:tcPr>
            <w:tcW w:type="dxa" w:w="2295"/>
          </w:tcPr>
          <w:p>
            <w:r>
              <w:rPr>
                <w:sz w:val="18"/>
              </w:rPr>
            </w:r>
            <w:r>
              <w:rPr>
                <w:rFonts w:ascii="Times New Roman" w:hAnsi="Times New Roman" w:eastAsia="宋体"/>
                <w:sz w:val="18"/>
              </w:rPr>
              <w:t>正向图识别、反向图识别</w:t>
            </w:r>
          </w:p>
        </w:tc>
        <w:tc>
          <w:tcPr>
            <w:tcW w:type="dxa" w:w="2295"/>
          </w:tcPr>
          <w:p>
            <w:r>
              <w:rPr>
                <w:sz w:val="18"/>
              </w:rPr>
            </w:r>
            <w:r>
              <w:rPr>
                <w:rFonts w:ascii="Times New Roman" w:hAnsi="Times New Roman" w:eastAsia="宋体"/>
                <w:sz w:val="18"/>
              </w:rPr>
              <w:t>空间方向与坐标语义一致</w:t>
            </w:r>
          </w:p>
        </w:tc>
      </w:tr>
    </w:tbl>
    <w:p>
      <w:pPr>
        <w:ind w:firstLine="0"/>
      </w:pPr>
      <w:r>
        <w:rPr>
          <w:rFonts w:ascii="Times New Roman" w:hAnsi="Times New Roman" w:eastAsia="宋体"/>
          <w:b/>
        </w:rPr>
        <w:t>Table 3 Standardized-product production capabilities and quality control in GriddingMachineDatasets.</w:t>
      </w:r>
      <w:r>
        <w:rPr>
          <w:rFonts w:ascii="Times New Roman" w:hAnsi="Times New Roman" w:eastAsia="宋体"/>
        </w:rPr>
        <w:t xml:space="preserve"> The representative cases cover dimensions, coordinates, numerical transformations, gap filling, YAML configuration, product output, and spatial-orientation inspection.</w:t>
      </w:r>
    </w:p>
    <w:p>
      <w:r>
        <w:rPr>
          <w:rFonts w:ascii="Times New Roman" w:hAnsi="Times New Roman" w:eastAsia="宋体"/>
        </w:rPr>
        <w:t>产品质量控制覆盖变量、维度、形状、属性、坐标方向、数值范围和Gapfill结果。输出数组与位置编码参照逐点对应，Float32转换采用统一的绝对和相对容差；配置与产品状态通过明确的流程信息反馈给维护者。质量报告同步保存最大绝对误差、最大相对误差、处理历史和重复生产一致性。</w:t>
      </w:r>
    </w:p>
    <w:p>
      <w:r>
        <w:rPr>
          <w:rFonts w:ascii="Times New Roman" w:hAnsi="Times New Roman" w:eastAsia="宋体"/>
        </w:rPr>
        <w:t>标准产品生产流程在各操作系统环境中保持一致行为。29组自动处理实例连续完成，正向图和南北反转图得到准确区分，体现了共享生产契约在数组变换、配置解析和空间方向控制方面的一致性。</w:t>
      </w:r>
    </w:p>
    <w:p>
      <w:r>
        <w:rPr>
          <w:rFonts w:ascii="Times New Roman" w:hAnsi="Times New Roman" w:eastAsia="宋体"/>
        </w:rPr>
        <w:t>配置构建器面向二维数据、含不确定性变量的三维数据和经纬度变换数据生成符合共享schema的配置，并将其直接交给标准产品生产引擎。数据贡献案例进一步贯通配置生成、标准化、自动与人工质量检查、产品发布、目录登记以及下游更新、下载和读取，形成面向数据贡献者的完整生产入口。</w:t>
      </w:r>
    </w:p>
    <w:p>
      <w:r>
        <w:rPr>
          <w:rFonts w:ascii="Times New Roman" w:hAnsi="Times New Roman" w:eastAsia="宋体"/>
        </w:rPr>
        <w:t>OISST实际产品用于进一步呈现共享生产契约对异构源结构的适配能力。案例采用NOAA/NCEI 0.25°逐日最优插值海表温度OISST V2.1中仅使用AVHRR数据的正式产品[9]，选取2022年2月25日文件。原始</w:t>
      </w:r>
      <w:r>
        <w:rPr>
          <w:rFonts w:ascii="Consolas" w:hAnsi="Consolas" w:eastAsia="等线"/>
        </w:rPr>
        <w:t>sst</w:t>
      </w:r>
      <w:r>
        <w:rPr>
          <w:rFonts w:ascii="Times New Roman" w:hAnsi="Times New Roman" w:eastAsia="宋体"/>
        </w:rPr>
        <w:t>变量在NetCDF中声明为</w:t>
      </w:r>
      <w:r>
        <w:rPr>
          <w:rFonts w:ascii="Consolas" w:hAnsi="Consolas" w:eastAsia="等线"/>
        </w:rPr>
        <w:t>time×zlev×lat×lon</w:t>
      </w:r>
      <w:r>
        <w:rPr>
          <w:rFonts w:ascii="Times New Roman" w:hAnsi="Times New Roman" w:eastAsia="宋体"/>
        </w:rPr>
        <w:t>，其中</w:t>
      </w:r>
      <w:r>
        <w:rPr>
          <w:rFonts w:ascii="Consolas" w:hAnsi="Consolas" w:eastAsia="等线"/>
        </w:rPr>
        <w:t>zlev</w:t>
      </w:r>
      <w:r>
        <w:rPr>
          <w:rFonts w:ascii="Times New Roman" w:hAnsi="Times New Roman" w:eastAsia="宋体"/>
        </w:rPr>
        <w:t>和</w:t>
      </w:r>
      <w:r>
        <w:rPr>
          <w:rFonts w:ascii="Consolas" w:hAnsi="Consolas" w:eastAsia="等线"/>
        </w:rPr>
        <w:t>time</w:t>
      </w:r>
      <w:r>
        <w:rPr>
          <w:rFonts w:ascii="Times New Roman" w:hAnsi="Times New Roman" w:eastAsia="宋体"/>
        </w:rPr>
        <w:t>均为单例维度；Julia读取后的数组顺序为</w:t>
      </w:r>
      <w:r>
        <w:rPr>
          <w:rFonts w:ascii="Consolas" w:hAnsi="Consolas" w:eastAsia="等线"/>
        </w:rPr>
        <w:t>lon×lat×zlev×time</w:t>
      </w:r>
      <w:r>
        <w:rPr>
          <w:rFonts w:ascii="Times New Roman" w:hAnsi="Times New Roman" w:eastAsia="宋体"/>
        </w:rPr>
        <w:t>，形状为1440×720×1×1。经度覆盖0.125°～359.875°，存储类型为Int16，并以0.01缩放因子解码为摄氏度。</w:t>
      </w:r>
    </w:p>
    <w:p>
      <w:r>
        <w:rPr>
          <w:rFonts w:ascii="Times New Roman" w:hAnsi="Times New Roman" w:eastAsia="宋体"/>
        </w:rPr>
        <w:t>版本化源适配器提取唯一的垂向层和时间层，共享YAML契约进一步完成维度声明、</w:t>
      </w:r>
      <w:r>
        <w:rPr>
          <w:rFonts w:ascii="Consolas" w:hAnsi="Consolas" w:eastAsia="等线"/>
        </w:rPr>
        <w:t>0°～360°</w:t>
      </w:r>
      <w:r>
        <w:rPr>
          <w:rFonts w:ascii="Times New Roman" w:hAnsi="Times New Roman" w:eastAsia="宋体"/>
        </w:rPr>
        <w:t>至</w:t>
      </w:r>
      <w:r>
        <w:rPr>
          <w:rFonts w:ascii="Consolas" w:hAnsi="Consolas" w:eastAsia="等线"/>
        </w:rPr>
        <w:t>[−180°, 180°)</w:t>
      </w:r>
      <w:r>
        <w:rPr>
          <w:rFonts w:ascii="Times New Roman" w:hAnsi="Times New Roman" w:eastAsia="宋体"/>
        </w:rPr>
        <w:t>的经度重排、有效范围控制和缺失值策略，生成</w:t>
      </w:r>
      <w:r>
        <w:rPr>
          <w:rFonts w:ascii="Consolas" w:hAnsi="Consolas" w:eastAsia="等线"/>
        </w:rPr>
        <w:t>SST_OISST_4X_1D_20220225_V1</w:t>
      </w:r>
      <w:r>
        <w:rPr>
          <w:rFonts w:ascii="Times New Roman" w:hAnsi="Times New Roman" w:eastAsia="宋体"/>
        </w:rPr>
        <w:t>标准产品。</w:t>
      </w:r>
    </w:p>
    <w:p>
      <w:r>
        <w:rPr>
          <w:rFonts w:ascii="Times New Roman" w:hAnsi="Times New Roman" w:eastAsia="宋体"/>
        </w:rPr>
        <w:t>独立参考流程直接读取未缩放的Int16存储值，根据原始</w:t>
      </w:r>
      <w:r>
        <w:rPr>
          <w:rFonts w:ascii="Consolas" w:hAnsi="Consolas" w:eastAsia="等线"/>
        </w:rPr>
        <w:t>scale_factor</w:t>
      </w:r>
      <w:r>
        <w:rPr>
          <w:rFonts w:ascii="Times New Roman" w:hAnsi="Times New Roman" w:eastAsia="宋体"/>
        </w:rPr>
        <w:t>、</w:t>
      </w:r>
      <w:r>
        <w:rPr>
          <w:rFonts w:ascii="Consolas" w:hAnsi="Consolas" w:eastAsia="等线"/>
        </w:rPr>
        <w:t>add_offset</w:t>
      </w:r>
      <w:r>
        <w:rPr>
          <w:rFonts w:ascii="Times New Roman" w:hAnsi="Times New Roman" w:eastAsia="宋体"/>
        </w:rPr>
        <w:t>和</w:t>
      </w:r>
      <w:r>
        <w:rPr>
          <w:rFonts w:ascii="Consolas" w:hAnsi="Consolas" w:eastAsia="等线"/>
        </w:rPr>
        <w:t>_FillValue</w:t>
      </w:r>
      <w:r>
        <w:rPr>
          <w:rFonts w:ascii="Times New Roman" w:hAnsi="Times New Roman" w:eastAsia="宋体"/>
        </w:rPr>
        <w:t>构造物理值与缺失值掩膜，并独立计算目标经度索引。参考结果记录全场统计量、10个确定性有效格点和10个缺失格点。标准产品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宋体"/>
        </w:rPr>
        <w:t>3.2 直接NetCDF分发效率评价</w:t>
      </w:r>
    </w:p>
    <w:p>
      <w:r>
        <w:rPr>
          <w:rFonts w:ascii="Times New Roman" w:hAnsi="Times New Roman" w:eastAsia="宋体"/>
        </w:rPr>
        <w:t>直接NetCDF分发效率采用二维静态高程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进行分析，代表不同规模和维度的内部压缩产品。每个标准NetCDF分别以原始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分发，对照归档采用gzip级别6。两种形式解包后的NetCDF具有相同SHA-256，据此量化省去外层打包与解包带来的时间和临时空间收益。</w:t>
      </w:r>
    </w:p>
    <w:p>
      <w:r>
        <w:rPr>
          <w:rFonts w:ascii="Times New Roman" w:hAnsi="Times New Roman" w:eastAsia="宋体"/>
        </w:rPr>
        <w:t>性能分析基于回环HTTP服务，按随机顺序重复测量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宋体"/>
        </w:rPr>
        <w:t>3.3 多镜像可靠性与网络访问</w:t>
      </w:r>
    </w:p>
    <w:p>
      <w:r>
        <w:rPr>
          <w:rFonts w:ascii="Times New Roman" w:hAnsi="Times New Roman" w:eastAsia="宋体"/>
        </w:rPr>
        <w:t>数据目录生命周期涵盖首次建立、版本更新、目录同步、产品获取、状态查询和历史数据整理。代表性目录包含不同版本的</w:t>
      </w:r>
      <w:r>
        <w:rPr>
          <w:rFonts w:ascii="Consolas" w:hAnsi="Consolas" w:eastAsia="等线"/>
        </w:rPr>
        <w:t>Artifacts.yaml</w:t>
      </w:r>
      <w:r>
        <w:rPr>
          <w:rFonts w:ascii="Times New Roman" w:hAnsi="Times New Roman" w:eastAsia="宋体"/>
        </w:rPr>
        <w:t>、多个NetCDF产品和两个镜像端点，并覆盖目录更新、单产品获取、全库同步、历史整理和状态查询。事务缓存区与正式数据区分别承担传输状态隔离和标准产品保存，整场、周期和站点读取共同连接目录与数据使用环节。</w:t>
      </w:r>
    </w:p>
    <w:p>
      <w:r>
        <w:rPr>
          <w:rFonts w:ascii="Times New Roman" w:hAnsi="Times New Roman" w:eastAsia="宋体"/>
        </w:rPr>
        <w:t>各状态转换通过重复调用考察幂等行为，上一有效版本和事务缓存共同承接目录与下载状态。确定性小型目录参考数据用于呈现全库同步与镜像遍历逻辑。</w:t>
      </w:r>
    </w:p>
    <w:p>
      <w:r>
        <w:rPr>
          <w:rFonts w:ascii="Times New Roman" w:hAnsi="Times New Roman" w:eastAsia="宋体"/>
        </w:rPr>
        <w:t>多镜像可靠性分析在两个独立环境中构建内容一致、访问状态可配置的镜像集合，通过延迟分数组织候选顺序，并设置13个代表性场景，覆盖镜像排序与回退、网络访问异常、缓存状态和文件内容完整性。每个场景在各环境中重复5次，记录候选选择、镜像遍历、正式文件状态及SHA-256，据此刻画事务式获取在镜像切换过程中的稳定性。校园网FTP与Zenodo访问进一步呈现机构镜像和公共镜像的互补分发特征与内容一致性。</w:t>
      </w:r>
    </w:p>
    <w:p>
      <w:r>
        <w:rPr>
          <w:rFonts w:ascii="Times New Roman" w:hAnsi="Times New Roman" w:eastAsia="宋体"/>
        </w:rPr>
        <w:t>镜像访问实验选取4个同时具有FTP和Zenodo地址且已登记</w:t>
      </w:r>
      <w:r>
        <w:rPr>
          <w:rFonts w:ascii="Consolas" w:hAnsi="Consolas" w:eastAsia="等线"/>
        </w:rPr>
        <w:t>SIZE/SHA256</w:t>
      </w:r>
      <w:r>
        <w:rPr>
          <w:rFonts w:ascii="Times New Roman" w:hAnsi="Times New Roman" w:eastAsia="宋体"/>
        </w:rPr>
        <w:t>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宋体"/>
        </w:rPr>
        <w:t>3.4 统一读取与模型就绪应用</w:t>
      </w:r>
    </w:p>
    <w:p>
      <w:r>
        <w:rPr>
          <w:rFonts w:ascii="Times New Roman" w:hAnsi="Times New Roman" w:eastAsia="宋体"/>
        </w:rPr>
        <w:t>模型就绪应用连接标准网格读取、陆面参数融合、气象驱动组织与Emerald初始化。确定性参考数据用于核对字段名、形状、类型、时间索引和缺失值处理；陆面案例采用2020年第二套陆面参数集合，在US-NR1附近植被格点和典型非植被格点呈现不同陆面状态下的模型入口。</w:t>
      </w:r>
    </w:p>
    <w:p>
      <w:r>
        <w:rPr>
          <w:rFonts w:ascii="Times New Roman" w:hAnsi="Times New Roman" w:eastAsia="宋体"/>
        </w:rPr>
        <w:t>陆面参数与气象驱动接口的输出可直接用于同一格点的Emerald初始化与首个气象时间步计算。字段映射、单位和维度在标准数据与模型接口之间保持一致，使GriddingMachine产品能够进入模型参数组织和时间步计算。</w:t>
      </w:r>
    </w:p>
    <w:p>
      <w:pPr>
        <w:pStyle w:val="Heading2"/>
      </w:pPr>
      <w:r>
        <w:rPr>
          <w:rFonts w:ascii="Times New Roman" w:hAnsi="Times New Roman" w:eastAsia="宋体"/>
        </w:rPr>
        <w:t>3.5 多操作系统环境运行与持续集成</w:t>
      </w:r>
    </w:p>
    <w:p>
      <w:r>
        <w:rPr>
          <w:rFonts w:ascii="Times New Roman" w:hAnsi="Times New Roman" w:eastAsia="宋体"/>
        </w:rPr>
        <w:t>跨操作系统运行覆盖Windows、macOS和Linux，采用本地运行与持续集成相结合的方式，贯通标准产品生产、ELEV/LAI分发、多镜像获取、Emerald最小模型流程和核心软件路径。统一的项目依赖和参考数据使数据结构、数值内容、正式文件状态与临时缓存行为保持一致。</w:t>
      </w:r>
    </w:p>
    <w:p>
      <w:r>
        <w:rPr>
          <w:rFonts w:ascii="Times New Roman" w:hAnsi="Times New Roman" w:eastAsia="宋体"/>
        </w:rPr>
        <w:t>持续集成使用确定性NetCDF参考数据维护代码路径、文件状态和内容完整性，独立运行环境进一步覆盖ELEV/LAI效率、FTP—Zenodo镜像访问和陆面参数集合应用，共同形成从自动维护到数据应用的分层运行体系。</w:t>
      </w:r>
    </w:p>
    <w:p>
      <w:pPr>
        <w:pStyle w:val="Heading1"/>
      </w:pPr>
      <w:r>
        <w:rPr>
          <w:rFonts w:ascii="Times New Roman" w:hAnsi="Times New Roman" w:eastAsia="宋体"/>
        </w:rPr>
        <w:t>4 结果与性能分析</w:t>
      </w:r>
    </w:p>
    <w:p>
      <w:r>
        <w:rPr>
          <w:rFonts w:ascii="Times New Roman" w:hAnsi="Times New Roman" w:eastAsia="宋体"/>
        </w:rPr>
        <w:t>新版GriddingMachine实现了从源数据配置到标准产品生成、从多镜像发布到可信获取、再到模型参数组织的完整链路。共享生产契约提升异构数据处理的一致性，独立目录和直接NetCDF简化产品维护与访问，事务式缓存增强多镜像获取的稳定性，统一接口进一步将标准数据连接到Emerald模型。主要功能与应用表现汇总于表4。</w:t>
      </w:r>
    </w:p>
    <w:p>
      <w:pPr>
        <w:ind w:firstLine="0"/>
      </w:pPr>
      <w:r>
        <w:rPr>
          <w:rFonts w:ascii="Times New Roman" w:hAnsi="Times New Roman" w:eastAsia="宋体"/>
          <w:b/>
        </w:rPr>
        <w:t>表4 新版GriddingMachine的主要改进与应用表现</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功能模块</w:t>
            </w:r>
          </w:p>
        </w:tc>
        <w:tc>
          <w:tcPr>
            <w:tcW w:type="dxa" w:w="3060"/>
            <w:shd w:fill="D9EAF7"/>
          </w:tcPr>
          <w:p>
            <w:r>
              <w:rPr>
                <w:b/>
                <w:sz w:val="18"/>
              </w:rPr>
            </w:r>
            <w:r>
              <w:rPr>
                <w:rFonts w:ascii="Times New Roman" w:hAnsi="Times New Roman" w:eastAsia="宋体"/>
                <w:b/>
                <w:sz w:val="18"/>
              </w:rPr>
              <w:t>核心机制</w:t>
            </w:r>
          </w:p>
        </w:tc>
        <w:tc>
          <w:tcPr>
            <w:tcW w:type="dxa" w:w="3060"/>
            <w:shd w:fill="D9EAF7"/>
          </w:tcPr>
          <w:p>
            <w:r>
              <w:rPr>
                <w:b/>
                <w:sz w:val="18"/>
              </w:rPr>
            </w:r>
            <w:r>
              <w:rPr>
                <w:rFonts w:ascii="Times New Roman" w:hAnsi="Times New Roman" w:eastAsia="宋体"/>
                <w:b/>
                <w:sz w:val="18"/>
              </w:rPr>
              <w:t>应用成果</w:t>
            </w:r>
          </w:p>
        </w:tc>
      </w:tr>
      <w:tr>
        <w:tc>
          <w:tcPr>
            <w:tcW w:type="dxa" w:w="3060"/>
          </w:tcPr>
          <w:p>
            <w:r>
              <w:rPr>
                <w:sz w:val="18"/>
              </w:rPr>
            </w:r>
            <w:r>
              <w:rPr>
                <w:rFonts w:ascii="Times New Roman" w:hAnsi="Times New Roman" w:eastAsia="宋体"/>
                <w:sz w:val="18"/>
              </w:rPr>
              <w:t>标准产品生产</w:t>
            </w:r>
          </w:p>
        </w:tc>
        <w:tc>
          <w:tcPr>
            <w:tcW w:type="dxa" w:w="3060"/>
          </w:tcPr>
          <w:p>
            <w:r>
              <w:rPr>
                <w:sz w:val="18"/>
              </w:rPr>
            </w:r>
            <w:r>
              <w:rPr>
                <w:rFonts w:ascii="Times New Roman" w:hAnsi="Times New Roman" w:eastAsia="宋体"/>
                <w:sz w:val="18"/>
              </w:rPr>
              <w:t>共享YAML schema、显式维度映射和Gapfill</w:t>
            </w:r>
          </w:p>
        </w:tc>
        <w:tc>
          <w:tcPr>
            <w:tcW w:type="dxa" w:w="3060"/>
          </w:tcPr>
          <w:p>
            <w:r>
              <w:rPr>
                <w:sz w:val="18"/>
              </w:rPr>
            </w:r>
            <w:r>
              <w:rPr>
                <w:rFonts w:ascii="Times New Roman" w:hAnsi="Times New Roman" w:eastAsia="宋体"/>
                <w:sz w:val="18"/>
              </w:rPr>
              <w:t>OISST源数据与独立参考逐点一致，二维和三维产品实现稳定生成</w:t>
            </w:r>
          </w:p>
        </w:tc>
      </w:tr>
      <w:tr>
        <w:tc>
          <w:tcPr>
            <w:tcW w:type="dxa" w:w="3060"/>
          </w:tcPr>
          <w:p>
            <w:r>
              <w:rPr>
                <w:sz w:val="18"/>
              </w:rPr>
            </w:r>
            <w:r>
              <w:rPr>
                <w:rFonts w:ascii="Times New Roman" w:hAnsi="Times New Roman" w:eastAsia="宋体"/>
                <w:sz w:val="18"/>
              </w:rPr>
              <w:t>数据制品</w:t>
            </w:r>
          </w:p>
        </w:tc>
        <w:tc>
          <w:tcPr>
            <w:tcW w:type="dxa" w:w="3060"/>
          </w:tcPr>
          <w:p>
            <w:r>
              <w:rPr>
                <w:sz w:val="18"/>
              </w:rPr>
            </w:r>
            <w:r>
              <w:rPr>
                <w:rFonts w:ascii="Times New Roman" w:hAnsi="Times New Roman" w:eastAsia="宋体"/>
                <w:sz w:val="18"/>
              </w:rPr>
              <w:t>直接NetCDF分发</w:t>
            </w:r>
          </w:p>
        </w:tc>
        <w:tc>
          <w:tcPr>
            <w:tcW w:type="dxa" w:w="3060"/>
          </w:tcPr>
          <w:p>
            <w:r>
              <w:rPr>
                <w:sz w:val="18"/>
              </w:rPr>
            </w:r>
            <w:r>
              <w:rPr>
                <w:rFonts w:ascii="Times New Roman" w:hAnsi="Times New Roman" w:eastAsia="宋体"/>
                <w:sz w:val="18"/>
              </w:rPr>
              <w:t>缓存预热后的端到端中位时间在两个独立运行环境中分别降低48.3%～82.9%和53.6%～69.2%</w:t>
            </w:r>
          </w:p>
        </w:tc>
      </w:tr>
      <w:tr>
        <w:tc>
          <w:tcPr>
            <w:tcW w:type="dxa" w:w="3060"/>
          </w:tcPr>
          <w:p>
            <w:r>
              <w:rPr>
                <w:sz w:val="18"/>
              </w:rPr>
            </w:r>
            <w:r>
              <w:rPr>
                <w:rFonts w:ascii="Times New Roman" w:hAnsi="Times New Roman" w:eastAsia="宋体"/>
                <w:sz w:val="18"/>
              </w:rPr>
              <w:t>目录与镜像</w:t>
            </w:r>
          </w:p>
        </w:tc>
        <w:tc>
          <w:tcPr>
            <w:tcW w:type="dxa" w:w="3060"/>
          </w:tcPr>
          <w:p>
            <w:r>
              <w:rPr>
                <w:sz w:val="18"/>
              </w:rPr>
            </w:r>
            <w:r>
              <w:rPr>
                <w:rFonts w:ascii="Times New Roman" w:hAnsi="Times New Roman" w:eastAsia="宋体"/>
                <w:sz w:val="18"/>
              </w:rPr>
              <w:t>独立目录、延迟辅助排序、多URL回退和事务缓存</w:t>
            </w:r>
          </w:p>
        </w:tc>
        <w:tc>
          <w:tcPr>
            <w:tcW w:type="dxa" w:w="3060"/>
          </w:tcPr>
          <w:p>
            <w:r>
              <w:rPr>
                <w:sz w:val="18"/>
              </w:rPr>
            </w:r>
            <w:r>
              <w:rPr>
                <w:rFonts w:ascii="Times New Roman" w:hAnsi="Times New Roman" w:eastAsia="宋体"/>
                <w:sz w:val="18"/>
              </w:rPr>
              <w:t>校园网FTP与Zenodo完成24次同文件下载，SHA-256摘要与目录登记值一致</w:t>
            </w:r>
          </w:p>
        </w:tc>
      </w:tr>
      <w:tr>
        <w:tc>
          <w:tcPr>
            <w:tcW w:type="dxa" w:w="3060"/>
          </w:tcPr>
          <w:p>
            <w:r>
              <w:rPr>
                <w:sz w:val="18"/>
              </w:rPr>
            </w:r>
            <w:r>
              <w:rPr>
                <w:rFonts w:ascii="Times New Roman" w:hAnsi="Times New Roman" w:eastAsia="宋体"/>
                <w:sz w:val="18"/>
              </w:rPr>
              <w:t>模型就绪访问</w:t>
            </w:r>
          </w:p>
        </w:tc>
        <w:tc>
          <w:tcPr>
            <w:tcW w:type="dxa" w:w="3060"/>
          </w:tcPr>
          <w:p>
            <w:r>
              <w:rPr>
                <w:sz w:val="18"/>
              </w:rPr>
            </w:r>
            <w:r>
              <w:rPr>
                <w:rFonts w:ascii="Times New Roman" w:hAnsi="Times New Roman" w:eastAsia="宋体"/>
                <w:sz w:val="18"/>
              </w:rPr>
              <w:t>标签驱动的数据访问、陆面参数融合和气象驱动组织</w:t>
            </w:r>
          </w:p>
        </w:tc>
        <w:tc>
          <w:tcPr>
            <w:tcW w:type="dxa" w:w="3060"/>
          </w:tcPr>
          <w:p>
            <w:r>
              <w:rPr>
                <w:sz w:val="18"/>
              </w:rPr>
            </w:r>
            <w:r>
              <w:rPr>
                <w:rFonts w:ascii="Times New Roman" w:hAnsi="Times New Roman" w:eastAsia="宋体"/>
                <w:sz w:val="18"/>
              </w:rPr>
              <w:t>14类陆面产品生成US-NR1参数字典并进入Emerald模型流程</w:t>
            </w:r>
          </w:p>
        </w:tc>
      </w:tr>
      <w:tr>
        <w:tc>
          <w:tcPr>
            <w:tcW w:type="dxa" w:w="3060"/>
          </w:tcPr>
          <w:p>
            <w:r>
              <w:rPr>
                <w:sz w:val="18"/>
              </w:rPr>
            </w:r>
            <w:r>
              <w:rPr>
                <w:rFonts w:ascii="Times New Roman" w:hAnsi="Times New Roman" w:eastAsia="宋体"/>
                <w:sz w:val="18"/>
              </w:rPr>
              <w:t>跨操作系统运行</w:t>
            </w:r>
          </w:p>
        </w:tc>
        <w:tc>
          <w:tcPr>
            <w:tcW w:type="dxa" w:w="3060"/>
          </w:tcPr>
          <w:p>
            <w:r>
              <w:rPr>
                <w:sz w:val="18"/>
              </w:rPr>
            </w:r>
            <w:r>
              <w:rPr>
                <w:rFonts w:ascii="Times New Roman" w:hAnsi="Times New Roman" w:eastAsia="宋体"/>
                <w:sz w:val="18"/>
              </w:rPr>
              <w:t>版本化依赖与持续集成</w:t>
            </w:r>
          </w:p>
        </w:tc>
        <w:tc>
          <w:tcPr>
            <w:tcW w:type="dxa" w:w="3060"/>
          </w:tcPr>
          <w:p>
            <w:r>
              <w:rPr>
                <w:sz w:val="18"/>
              </w:rPr>
            </w:r>
            <w:r>
              <w:rPr>
                <w:rFonts w:ascii="Times New Roman" w:hAnsi="Times New Roman" w:eastAsia="宋体"/>
                <w:sz w:val="18"/>
              </w:rPr>
              <w:t>多个操作系统环境保持一致的软件路径、数据结构与模型接口</w:t>
            </w:r>
          </w:p>
        </w:tc>
      </w:tr>
    </w:tbl>
    <w:p>
      <w:pPr>
        <w:ind w:firstLine="0"/>
      </w:pPr>
      <w:r>
        <w:rPr>
          <w:rFonts w:ascii="Times New Roman" w:hAnsi="Times New Roman" w:eastAsia="宋体"/>
          <w:b/>
        </w:rPr>
        <w:t>Table 4 Major advances and application performance of the updated GriddingMachine.</w:t>
      </w:r>
      <w:r>
        <w:rPr>
          <w:rFonts w:ascii="Times New Roman" w:hAnsi="Times New Roman" w:eastAsia="宋体"/>
        </w:rPr>
        <w:t xml:space="preserve"> The table summarizes standardized production, direct NetCDF distribution, multi-mirror acquisition, model-ready access, and cross-platform operation.</w:t>
      </w:r>
    </w:p>
    <w:p>
      <w:pPr>
        <w:pStyle w:val="Heading2"/>
      </w:pPr>
      <w:r>
        <w:rPr>
          <w:rFonts w:ascii="Times New Roman" w:hAnsi="Times New Roman" w:eastAsia="宋体"/>
        </w:rPr>
        <w:t>4.1 标准产品生产与OISST结果</w:t>
      </w:r>
    </w:p>
    <w:p>
      <w:r>
        <w:rPr>
          <w:rFonts w:ascii="Times New Roman" w:hAnsi="Times New Roman" w:eastAsia="宋体"/>
        </w:rPr>
        <w:t>共享YAML schema组织二维和三维数据的源维度重排、坐标变换、线性缩放、有效范围过滤与Gapfill，并将处理结果保存为统一的</w:t>
      </w:r>
      <w:r>
        <w:rPr>
          <w:rFonts w:ascii="Consolas" w:hAnsi="Consolas" w:eastAsia="等线"/>
        </w:rPr>
        <w:t>data/std</w:t>
      </w:r>
      <w:r>
        <w:rPr>
          <w:rFonts w:ascii="Times New Roman" w:hAnsi="Times New Roman" w:eastAsia="宋体"/>
        </w:rPr>
        <w:t>结构。配置构建器、生产流水线和目录生成器使用同一字段约定，使标准产品从源数据处理直接进入</w:t>
      </w:r>
      <w:r>
        <w:rPr>
          <w:rFonts w:ascii="Consolas" w:hAnsi="Consolas" w:eastAsia="等线"/>
        </w:rPr>
        <w:t>Artifacts.yaml</w:t>
      </w:r>
      <w:r>
        <w:rPr>
          <w:rFonts w:ascii="Times New Roman" w:hAnsi="Times New Roman" w:eastAsia="宋体"/>
        </w:rPr>
        <w:t>登记；目录条目同步生成</w:t>
      </w:r>
      <w:r>
        <w:rPr>
          <w:rFonts w:ascii="Consolas" w:hAnsi="Consolas" w:eastAsia="等线"/>
        </w:rPr>
        <w:t>SIZE</w:t>
      </w:r>
      <w:r>
        <w:rPr>
          <w:rFonts w:ascii="Times New Roman" w:hAnsi="Times New Roman" w:eastAsia="宋体"/>
        </w:rPr>
        <w:t>与SHA-256，为多镜像发布提供完整性信息。</w:t>
      </w:r>
    </w:p>
    <w:p>
      <w:r>
        <w:rPr>
          <w:rFonts w:ascii="Times New Roman" w:hAnsi="Times New Roman" w:eastAsia="宋体"/>
        </w:rPr>
        <w:t>OISST案例展示了共享生产契约对异构地学源数据的组织能力。原始</w:t>
      </w:r>
      <w:r>
        <w:rPr>
          <w:rFonts w:ascii="Consolas" w:hAnsi="Consolas" w:eastAsia="等线"/>
        </w:rPr>
        <w:t>sst</w:t>
      </w:r>
      <w:r>
        <w:rPr>
          <w:rFonts w:ascii="Times New Roman" w:hAnsi="Times New Roman" w:eastAsia="宋体"/>
        </w:rPr>
        <w:t>变量在Julia读取路径中呈现为1440×720×1×1的</w:t>
      </w:r>
      <w:r>
        <w:rPr>
          <w:rFonts w:ascii="Consolas" w:hAnsi="Consolas" w:eastAsia="等线"/>
        </w:rPr>
        <w:t>lon×lat×zlev×time</w:t>
      </w:r>
      <w:r>
        <w:rPr>
          <w:rFonts w:ascii="Times New Roman" w:hAnsi="Times New Roman" w:eastAsia="宋体"/>
        </w:rPr>
        <w:t>数组，经单例层提取、Int16物理值解码和经度重排后形成1440×720标准产品。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宋体"/>
        </w:rPr>
        <w:t>标准产品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形成从源产品、共享YAML生产、完整性目录到标准读取的端到端数据链路。</w:t>
      </w:r>
    </w:p>
    <w:p>
      <w:pPr>
        <w:jc w:val="center"/>
      </w:pPr>
      <w:r>
        <w:drawing>
          <wp:inline xmlns:a="http://schemas.openxmlformats.org/drawingml/2006/main" xmlns:pic="http://schemas.openxmlformats.org/drawingml/2006/picture">
            <wp:extent cx="5400000" cy="3887147"/>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887147"/>
                    </a:xfrm>
                    <a:prstGeom prst="rect"/>
                  </pic:spPr>
                </pic:pic>
              </a:graphicData>
            </a:graphic>
          </wp:inline>
        </w:drawing>
      </w:r>
    </w:p>
    <w:p>
      <w:pPr>
        <w:ind w:firstLine="0"/>
      </w:pPr>
      <w:r>
        <w:rPr>
          <w:rFonts w:ascii="Times New Roman" w:hAnsi="Times New Roman" w:eastAsia="宋体"/>
          <w:b/>
        </w:rPr>
        <w:t>图2 OISST V2.1产品标准化结果</w:t>
      </w:r>
      <w:r>
        <w:rPr>
          <w:rFonts w:ascii="Times New Roman" w:hAnsi="Times New Roman" w:eastAsia="宋体"/>
        </w:rPr>
        <w:t xml:space="preserve"> （a）2022年2月25日全球海表温度标准产品；（b）有效格点纬向平均海表温度；（c）各纬度有效格点比例。标准产品为1440×720规则网格，691 150个有效格点与独立参考逐点一致。</w:t>
      </w:r>
    </w:p>
    <w:p>
      <w:pPr>
        <w:ind w:firstLine="0"/>
      </w:pPr>
      <w:r>
        <w:rPr>
          <w:rFonts w:ascii="Times New Roman" w:hAnsi="Times New Roman" w:eastAsia="宋体"/>
          <w:b/>
        </w:rPr>
        <w:t>Fig. 2 Standardization results for the OISST V2.1 product.</w:t>
      </w:r>
      <w:r>
        <w:rPr>
          <w:rFonts w:ascii="Times New Roman" w:hAnsi="Times New Roman" w:eastAsia="宋体"/>
        </w:rPr>
        <w:t xml:space="preserve"> (a) Global standardized sea-surface temperature on 25 February 2022; (b) zonal mean sea-surface temperature over finite grid cells; and (c) fraction of finite grid cells by latitude. The 1440 × 720 product contains 691,150 finite cells that agree point by point with the independently decoded reference.</w:t>
      </w:r>
    </w:p>
    <w:p>
      <w:r>
        <w:rPr>
          <w:rFonts w:ascii="Times New Roman" w:hAnsi="Times New Roman" w:eastAsia="宋体"/>
        </w:rPr>
        <w:t>表3所列31组处理实例覆盖维度、坐标、数值、Gapfill、配置、输出和空间方向控制。各操作系统环境获得一致的产品结构和逐点数值结果，正向图与南北反转图得到准确区分，自动质量控制与人工空间检查共同维护标准产品的坐标语义。</w:t>
      </w:r>
    </w:p>
    <w:p>
      <w:r>
        <w:rPr>
          <w:rFonts w:ascii="Times New Roman" w:hAnsi="Times New Roman" w:eastAsia="宋体"/>
        </w:rPr>
        <w:t>数据贡献案例贯通YAML配置、标准产品生成、目录登记和下游读取，生成产品与参考数组逐点一致，目录中的文件字节数和SHA-256与产品相符。统一NetCDF读写层与配置对象复用机制进一步协调文件访问和批量生产，使二维/三维输出、坐标变换、数值处理、Gapfill和目录生成由同一工作流连接；完整YAML示例和固定输入路径共同构成可复用的数据贡献模板。</w:t>
      </w:r>
    </w:p>
    <w:p>
      <w:r>
        <w:rPr>
          <w:rFonts w:ascii="Times New Roman" w:hAnsi="Times New Roman" w:eastAsia="宋体"/>
        </w:rPr>
        <w:t>ELEV补充案例使用已通过文件大小和SHA-256校验的</w:t>
      </w:r>
      <w:r>
        <w:rPr>
          <w:rFonts w:ascii="Consolas" w:hAnsi="Consolas" w:eastAsia="等线"/>
        </w:rPr>
        <w:t>ELEV_4X_1Y_V1.nc</w:t>
      </w:r>
      <w:r>
        <w:rPr>
          <w:rFonts w:ascii="Times New Roman" w:hAnsi="Times New Roman" w:eastAsia="宋体"/>
        </w:rPr>
        <w:t>。该文件为1440×720、全域有效，有限值范围为−415.5～5 357.7002 m；GriddingMachine整场读取与NetCDF底层Float32数组逐点一致。使用显式标准维度、</w:t>
      </w:r>
      <w:r>
        <w:rPr>
          <w:rFonts w:ascii="Consolas" w:hAnsi="Consolas" w:eastAsia="等线"/>
        </w:rPr>
        <w:t>KEEP_AS_IS</w:t>
      </w:r>
      <w:r>
        <w:rPr>
          <w:rFonts w:ascii="Times New Roman" w:hAnsi="Times New Roman" w:eastAsia="宋体"/>
        </w:rPr>
        <w:t>和原值保持配置连续处理3次，三次</w:t>
      </w:r>
      <w:r>
        <w:rPr>
          <w:rFonts w:ascii="Consolas" w:hAnsi="Consolas" w:eastAsia="等线"/>
        </w:rPr>
        <w:t>data/lon/lat</w:t>
      </w:r>
      <w:r>
        <w:rPr>
          <w:rFonts w:ascii="Times New Roman" w:hAnsi="Times New Roman" w:eastAsia="宋体"/>
        </w:rPr>
        <w:t>均与输入一致，输出文件SHA-256也彼此相同，表明标准产品经过统一读取和生产流水线后保持科学数组及坐标。</w:t>
      </w:r>
    </w:p>
    <w:p>
      <w:pPr>
        <w:pStyle w:val="Heading2"/>
      </w:pPr>
      <w:r>
        <w:rPr>
          <w:rFonts w:ascii="Times New Roman" w:hAnsi="Times New Roman" w:eastAsia="宋体"/>
        </w:rPr>
        <w:t>4.2 直接NetCDF分发效率</w:t>
      </w:r>
    </w:p>
    <w:p>
      <w:r>
        <w:rPr>
          <w:rFonts w:ascii="Times New Roman" w:hAnsi="Times New Roman" w:eastAsia="宋体"/>
        </w:rPr>
        <w:t>新版采用直接NetCDF作为分发制品。本研究以通过来源MD5与SHA-256校验的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评价分发效率，并在相互独立的操作系统环境中采用一致协议。两文件的</w:t>
      </w:r>
      <w:r>
        <w:rPr>
          <w:rFonts w:ascii="Consolas" w:hAnsi="Consolas" w:eastAsia="等线"/>
        </w:rPr>
        <w:t>data</w:t>
      </w:r>
      <w:r>
        <w:rPr>
          <w:rFonts w:ascii="Times New Roman" w:hAnsi="Times New Roman" w:eastAsia="宋体"/>
        </w:rPr>
        <w:t>变量均采用NetCDF内部zlib压缩级别4，对照归档采用gzip压缩级别6。回环HTTP条件下，各“数据×形式”组合经过缓存预热并按随机顺序重复测量，解包后内容均通过SHA-256校验。</w:t>
      </w:r>
    </w:p>
    <w:p>
      <w:r>
        <w:rPr>
          <w:rFonts w:ascii="Times New Roman" w:hAnsi="Times New Roman" w:eastAsia="宋体"/>
        </w:rPr>
        <w:t>直接NetCDF相对外层</w:t>
      </w:r>
      <w:r>
        <w:rPr>
          <w:rFonts w:ascii="Consolas" w:hAnsi="Consolas" w:eastAsia="等线"/>
        </w:rPr>
        <w:t>tar.gz</w:t>
      </w:r>
      <w:r>
        <w:rPr>
          <w:rFonts w:ascii="Times New Roman" w:hAnsi="Times New Roman" w:eastAsia="宋体"/>
        </w:rPr>
        <w:t>的缓存预热后端到端中位时间在两个环境中分别降低48.3%～82.9%和53.6%～69.2%；两个样本的传输字节分别增加6.43%和2.16%。80次SHA-256摘要核验结果一致。对于已经采用NetCDF内部压缩的数据产品，直接分发减少了额外解包时间和逻辑临时占用。置信区间、绝对时间及完整图件保存在实验材料中。</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宋体"/>
          <w:b/>
        </w:rPr>
        <w:t>图3 直接NetCDF与外层tar.gz分发的端到端时间比较</w:t>
      </w:r>
      <w:r>
        <w:rPr>
          <w:rFonts w:ascii="Times New Roman" w:hAnsi="Times New Roman" w:eastAsia="宋体"/>
        </w:rPr>
        <w:t xml:space="preserve"> （a）二维高程产品ELEV；（b）三维叶面积指数产品LAI。柱高为缓存预热后端到端时间中位数，误差线为95% Bootstrap置信区间；独立环境A和B采用相同输入文件与测量协议。柱上百分比表示直接NetCDF相对于外层</w:t>
      </w:r>
      <w:r>
        <w:rPr>
          <w:rFonts w:ascii="Consolas" w:hAnsi="Consolas" w:eastAsia="等线"/>
        </w:rPr>
        <w:t>tar.gz</w:t>
      </w:r>
      <w:r>
        <w:rPr>
          <w:rFonts w:ascii="Times New Roman" w:hAnsi="Times New Roman" w:eastAsia="宋体"/>
        </w:rPr>
        <w:t>归档的中位时间降幅。</w:t>
      </w:r>
    </w:p>
    <w:p>
      <w:pPr>
        <w:ind w:firstLine="0"/>
      </w:pPr>
      <w:r>
        <w:rPr>
          <w:rFonts w:ascii="Times New Roman" w:hAnsi="Times New Roman" w:eastAsia="宋体"/>
          <w:b/>
        </w:rPr>
        <w:t>Fig. 3 End-to-end time for direct NetCDF and externally archived `tar.gz` distribution.</w:t>
      </w:r>
      <w:r>
        <w:rPr>
          <w:rFonts w:ascii="Times New Roman" w:hAnsi="Times New Roman" w:eastAsia="宋体"/>
        </w:rPr>
        <w:t xml:space="preserve"> (a) The two-dimensional ELEV product; (b) the three-dimensional LAI product. Bars show median warm-cache end-to-end time, and error bars show 95% bootstrap confidence intervals. Independent environments A and B used identical input files and measurement protocols. Percentages above the bars indicate the reduction in median time achieved by direct NetCDF relative to external </w:t>
      </w:r>
      <w:r>
        <w:rPr>
          <w:rFonts w:ascii="Consolas" w:hAnsi="Consolas" w:eastAsia="等线"/>
        </w:rPr>
        <w:t>tar.gz</w:t>
      </w:r>
      <w:r>
        <w:rPr>
          <w:rFonts w:ascii="Times New Roman" w:hAnsi="Times New Roman" w:eastAsia="宋体"/>
        </w:rPr>
        <w:t xml:space="preserve"> archives.</w:t>
      </w:r>
    </w:p>
    <w:p>
      <w:pPr>
        <w:pStyle w:val="Heading2"/>
      </w:pPr>
      <w:r>
        <w:rPr>
          <w:rFonts w:ascii="Times New Roman" w:hAnsi="Times New Roman" w:eastAsia="宋体"/>
        </w:rPr>
        <w:t>4.3 目录管理与可信多镜像分发</w:t>
      </w:r>
    </w:p>
    <w:p>
      <w:r>
        <w:rPr>
          <w:rFonts w:ascii="Times New Roman" w:hAnsi="Times New Roman" w:eastAsia="宋体"/>
        </w:rPr>
        <w:t>目录与数据获取模块将目录初始化、事务更新、产品同步、镜像获取、状态查询和历史数据整理组织为统一的数据维护接口。独立目录使数据产品能够随镜像和版本持续更新，事务缓存区与正式数据区的分层机制则将传输过程与标准产品分离，使上一有效目录和已发布产品在目录更新与镜像切换过程中保持稳定。</w:t>
      </w:r>
    </w:p>
    <w:p>
      <w:r>
        <w:rPr>
          <w:rFonts w:ascii="Times New Roman" w:hAnsi="Times New Roman" w:eastAsia="宋体"/>
        </w:rPr>
        <w:t>13个受控场景在两个独立操作系统环境中分别重复5次，共形成130次获取记录。结果表明，目录与数据获取模块能够优先选择延迟较低的候选，同时保留全部镜像并依次回退。每次获取采用独立临时文件，内容经字节数和SHA-256确认后进入正式路径；所有记录均完成临时文件回收，既有正式文件摘要保持一致。</w:t>
      </w:r>
    </w:p>
    <w:p>
      <w:r>
        <w:rPr>
          <w:rFonts w:ascii="Times New Roman" w:hAnsi="Times New Roman" w:eastAsia="宋体"/>
        </w:rPr>
        <w:t>公共网络环境下，4个标签经Zenodo完成24次下载，全部达到登记字节数并通过SHA-256核验。下载时间随文件规模呈梯度变化，重复传输的SHA-256摘要与目录登记值一致，体现了公共镜像、事务缓存和完整性校验的协同作用。</w:t>
      </w:r>
    </w:p>
    <w:p>
      <w:r>
        <w:rPr>
          <w:rFonts w:ascii="Times New Roman" w:hAnsi="Times New Roman" w:eastAsia="宋体"/>
        </w:rPr>
        <w:t>中科大校园网环境下，FTP与Zenodo各完成12次同文件下载，24次结果均达到登记字节数并通过SHA-256核验。4个文件的FTP中位下载时间为0.071～0.356 s，Zenodo为1.091～14.092 s；FTP往返延迟为1.0～13.5 ms，延迟辅助排序与实际传输表现一致。机构镜像与公共镜像提供内容一致的分发副本，多镜像目录据此适配不同访问环境。</w:t>
      </w:r>
    </w:p>
    <w:p>
      <w:pPr>
        <w:pStyle w:val="Heading2"/>
      </w:pPr>
      <w:r>
        <w:rPr>
          <w:rFonts w:ascii="Times New Roman" w:hAnsi="Times New Roman" w:eastAsia="宋体"/>
        </w:rPr>
        <w:t>4.4 统一读取与模型就绪应用</w:t>
      </w:r>
    </w:p>
    <w:p>
      <w:r>
        <w:rPr>
          <w:rFonts w:ascii="Times New Roman" w:hAnsi="Times New Roman" w:eastAsia="宋体"/>
        </w:rPr>
        <w:t>标签驱动的数据访问实现整场、周期和站点读取以及经纬度索引；格点尺度陆面参数融合和气象驱动组织进一步覆盖植被、裸土和时间序列等模型输入场景。对应的公共接口分别为</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，并以</w:t>
      </w:r>
      <w:r>
        <w:rPr>
          <w:rFonts w:ascii="Consolas" w:hAnsi="Consolas" w:eastAsia="等线"/>
        </w:rPr>
        <w:t>read_LUT</w:t>
      </w:r>
      <w:r>
        <w:rPr>
          <w:rFonts w:ascii="Times New Roman" w:hAnsi="Times New Roman" w:eastAsia="宋体"/>
        </w:rPr>
        <w:t>兼容原有读取方式。GriddingMachine输出由此进入Emerald参数组织、气象组织、模型初始化和60 s单步计算，建立从标准数据读取到模型首个时间步的直接连接。</w:t>
      </w:r>
    </w:p>
    <w:p>
      <w:r>
        <w:rPr>
          <w:rFonts w:ascii="Times New Roman" w:hAnsi="Times New Roman" w:eastAsia="宋体"/>
        </w:rPr>
        <w:t>陆面案例使用2020年第二套陆面参数集合的14类标准产品，文件大小、来源摘要和SHA-256均通过核验。US-NR1站点映射至40.5°N、105.5°W的规则格点，参数融合接口组织34个模型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pPr>
        <w:pStyle w:val="Heading2"/>
      </w:pPr>
      <w:r>
        <w:rPr>
          <w:rFonts w:ascii="Times New Roman" w:hAnsi="Times New Roman" w:eastAsia="宋体"/>
        </w:rPr>
        <w:t>4.5 多操作系统环境运行表现</w:t>
      </w:r>
    </w:p>
    <w:p>
      <w:r>
        <w:rPr>
          <w:rFonts w:ascii="Times New Roman" w:hAnsi="Times New Roman" w:eastAsia="宋体"/>
        </w:rPr>
        <w:t>各操作系统环境均可运行标准产品生产、直接NetCDF分发、多镜像获取和Emerald模型接口，并获得一致的数据结构、SHA-256摘要和模型字段。同一下载接口在各环境中实现延迟辅助排序、全候选保留和顺序回退，体现了核心代码路径的可移植性、数据接口的一致性及其对网络条件变化的适应能力。</w:t>
      </w:r>
    </w:p>
    <w:p>
      <w:r>
        <w:rPr>
          <w:rFonts w:ascii="Times New Roman" w:hAnsi="Times New Roman" w:eastAsia="宋体"/>
        </w:rPr>
        <w:t>公共网络中的Zenodo下载和校园网中的FTP—Zenodo对照均通过完整性核验。多网络环境结果共同展示了公共镜像与机构镜像的互补价值，以及全URL回退机制对访问条件变化的适应能力。</w:t>
      </w:r>
    </w:p>
    <w:p>
      <w:r>
        <w:rPr>
          <w:rFonts w:ascii="Times New Roman" w:hAnsi="Times New Roman" w:eastAsia="宋体"/>
        </w:rPr>
        <w:t>GriddingMachine、GriddingMachineDatasets、Emerald及研究材料仓库的跨操作系统持续集成工作流均保持自动执行。统一的项目依赖、参考数据和模型接口形成可持续维护机制，使软件更新能够继承本文建立的数据生产、可信分发和模型调用能力。</w:t>
      </w:r>
    </w:p>
    <w:p>
      <w:pPr>
        <w:pStyle w:val="Heading1"/>
      </w:pPr>
      <w:r>
        <w:rPr>
          <w:rFonts w:ascii="Times New Roman" w:hAnsi="Times New Roman" w:eastAsia="宋体"/>
        </w:rPr>
        <w:t>5 讨论</w:t>
      </w:r>
    </w:p>
    <w:p>
      <w:pPr>
        <w:pStyle w:val="Heading2"/>
      </w:pPr>
      <w:r>
        <w:rPr>
          <w:rFonts w:ascii="Times New Roman" w:hAnsi="Times New Roman" w:eastAsia="宋体"/>
        </w:rPr>
        <w:t>5.1 从数据集合到可维护工作流</w:t>
      </w:r>
    </w:p>
    <w:p>
      <w:r>
        <w:rPr>
          <w:rFonts w:ascii="Times New Roman" w:hAnsi="Times New Roman" w:eastAsia="宋体"/>
        </w:rPr>
        <w:t>2022版GriddingMachine建立了统一网格、变量约定和标签化数据访问[4]。当前更新进一步形成共享配置契约、显式源维度映射、与软件版本解耦的数据目录、事务式多镜像获取和模型就绪接口。14类陆面产品、校园网FTP—Zenodo获取和跨操作系统运行共同展示这些能力，GriddingMachine由此从标准数据集合演进为连接生产、分发、读取和模型调用的数据生命周期框架。</w:t>
      </w:r>
    </w:p>
    <w:p>
      <w:r>
        <w:rPr>
          <w:rFonts w:ascii="Times New Roman" w:hAnsi="Times New Roman" w:eastAsia="宋体"/>
        </w:rPr>
        <w:t>新版框架在三个层次推进GriddingMachine：生产端以共享YAML契约连接维度、坐标、Gapfill和标准NetCDF，并由OISST产品展示异构维度、打包数值和经度体系的统一转换；分发端以独立目录、直接NetCDF与事务缓存连接机构镜像和公共镜像；应用端以统一读取、Emerald最小步进和14类陆面产品链路连接数据产品与模型。海温与陆面产品共同呈现框架在全球规则网格数据生命周期中的适用性。</w:t>
      </w:r>
    </w:p>
    <w:p>
      <w:pPr>
        <w:pStyle w:val="Heading2"/>
      </w:pPr>
      <w:r>
        <w:rPr>
          <w:rFonts w:ascii="Times New Roman" w:hAnsi="Times New Roman" w:eastAsia="宋体"/>
        </w:rPr>
        <w:t>5.2 与相关地球科学数据基础设施的关系</w:t>
      </w:r>
    </w:p>
    <w:p>
      <w:r>
        <w:rPr>
          <w:rFonts w:ascii="Times New Roman" w:hAnsi="Times New Roman" w:eastAsia="宋体"/>
        </w:rPr>
        <w:t>Earth Engine把大规模地理空间数据与云端计算结合，服务行星尺度分析[3]；ESGF通过分布式节点、搜索和联合身份基础设施支撑气候模式数据的发现与访问[10]；Pangeo倡导分析就绪、云优化数据以及计算与数据邻近的云原生模式[11]，Pangeo Forge进一步以可复用配方和目录组织分析就绪数据生产[12]。GriddingMachine与这些基础设施形成互补，面向经过选择和统一的全球规则网格产品，以及需要在Julia科学计算工作流中按固定标签复现参数与气象驱动的模型使用场景。</w:t>
      </w:r>
    </w:p>
    <w:p>
      <w:r>
        <w:rPr>
          <w:rFonts w:ascii="Times New Roman" w:hAnsi="Times New Roman" w:eastAsia="宋体"/>
        </w:rPr>
        <w:t>GriddingMachine的互补性体现在三个层次：以YAML保留从异构源数据到标准NetCDF的处理意图；以轻量目录连接机构镜像和通用存储；以标签驱动的数据访问、格点尺度陆面参数融合和气象驱动组织把标准产品转换为模型所需字段。Pangeo Forge侧重云端分析就绪数据生产的配方—基础设施分离[12]，本文流程侧重可直接下载的单体NetCDF、离线缓存、完整性落盘和固定模型接口。云优化分块格式适配超大规模近数据计算[11]，ESGF适配CMIP等机构联合治理[10]，GriddingMachine则服务可下载、可本地缓存的全球规则网格数据及其模型输入组织。</w:t>
      </w:r>
    </w:p>
    <w:p>
      <w:r>
        <w:rPr>
          <w:rFonts w:ascii="Times New Roman" w:hAnsi="Times New Roman" w:eastAsia="宋体"/>
        </w:rPr>
        <w:t>国内地球系统科学数据共享研究强调目录体系和规范关键词对数据管理与检索的作用[13]；Pooch以文件名、URL和SHA-256注册表实现远端文件获取、本地缓存和完整性校验[14]；STAC为广泛地理空间资产提供通用元数据结构与查询标准[15]。GriddingMachine进一步面向规则网格和模型标签，将上游生产配置、标准NetCDF、事务式多镜像落盘和下游模型字段组织置于同一机器可执行契约中，形成具有领域针对性的端到端整合。</w:t>
      </w:r>
    </w:p>
    <w:p>
      <w:pPr>
        <w:pStyle w:val="Heading2"/>
      </w:pPr>
      <w:r>
        <w:rPr>
          <w:rFonts w:ascii="Times New Roman" w:hAnsi="Times New Roman" w:eastAsia="宋体"/>
        </w:rPr>
        <w:t>5.3 FAIR与可复现性建设</w:t>
      </w:r>
    </w:p>
    <w:p>
      <w:r>
        <w:rPr>
          <w:rFonts w:ascii="Times New Roman" w:hAnsi="Times New Roman" w:eastAsia="宋体"/>
        </w:rPr>
        <w:t>标签和独立目录提高数据的可发现性，多URL和直接NetCDF增强获取能力，统一网格与变量约定促进互操作，文件级变更记录与发布级配置归档共同支撑复用[1]。FAIR4RS强调科研软件的可执行性、复合依赖、持续演化和版本管理[16]；TRUST原则进一步提出透明度、责任、用户关注、可持续性和技术能力[17]。对我国国家科学数据中心的调研也显示，标准化元数据、持久标识与清晰的数据使用信息是提升科学数据复用水平的重要环节[18]。</w:t>
      </w:r>
    </w:p>
    <w:p>
      <w:r>
        <w:rPr>
          <w:rFonts w:ascii="Times New Roman" w:hAnsi="Times New Roman" w:eastAsia="宋体"/>
        </w:rPr>
        <w:t>GriddingMachine以权威文件生成</w:t>
      </w:r>
      <w:r>
        <w:rPr>
          <w:rFonts w:ascii="Consolas" w:hAnsi="Consolas" w:eastAsia="等线"/>
        </w:rPr>
        <w:t>SIZE/SHA256</w:t>
      </w:r>
      <w:r>
        <w:rPr>
          <w:rFonts w:ascii="Times New Roman" w:hAnsi="Times New Roman" w:eastAsia="宋体"/>
        </w:rPr>
        <w:t>，通过下载后校验、目录事务替换和版本化依赖连接数据产品、目录与软件环境。OISST和ELEV案例进一步将配置、坐标、科学数组、文件摘要和读取结果纳入同一复现链，为软件与数据版本的共同引用提供基础[8]。</w:t>
      </w:r>
    </w:p>
    <w:p>
      <w:pPr>
        <w:pStyle w:val="Heading2"/>
      </w:pPr>
      <w:r>
        <w:rPr>
          <w:rFonts w:ascii="Times New Roman" w:hAnsi="Times New Roman" w:eastAsia="宋体"/>
        </w:rPr>
        <w:t>5.4 框架扩展与应用前景</w:t>
      </w:r>
    </w:p>
    <w:p>
      <w:r>
        <w:rPr>
          <w:rFonts w:ascii="Times New Roman" w:hAnsi="Times New Roman" w:eastAsia="宋体"/>
        </w:rPr>
        <w:t>共享YAML契约为历史产品迁移以及非规则网格、区域投影和复杂时间坐标的源适配提供统一入口；坐标单调性、值域、逐点数组断言与方向图能够进一步汇入同一质量报告。独立目录和多镜像机制也便于积累不同文件规模、网络条件与持续时间下的传输观测，从而持续优化候选排序和镜像组织。围绕OISST建立的异构产品生产链可自然扩展至多时段海洋与气象数据，结构化目录服务和永久软件归档则将增强数据发现、版本引用及跨团队复用能力。</w:t>
      </w:r>
    </w:p>
    <w:p>
      <w:r>
        <w:rPr>
          <w:rFonts w:ascii="Times New Roman" w:hAnsi="Times New Roman" w:eastAsia="宋体"/>
        </w:rPr>
        <w:t>现有数据贡献模板、规则网格索引、植被与非植被入口、陆面参数融合及气象驱动组织能力，已经为长期模拟和多模型适配形成稳定接口。14类陆面产品与Emerald模型初始化的衔接进一步表明，GriddingMachine可以作为数据产品与地球系统模型之间的轻量中间层，在保持标准产品独立性的同时支持模型参数、边界条件和驱动数据的统一组织。</w:t>
      </w:r>
    </w:p>
    <w:p>
      <w:pPr>
        <w:pStyle w:val="Heading1"/>
      </w:pPr>
      <w:r>
        <w:rPr>
          <w:rFonts w:ascii="Times New Roman" w:hAnsi="Times New Roman" w:eastAsia="宋体"/>
        </w:rPr>
        <w:t>6 结论</w:t>
      </w:r>
    </w:p>
    <w:p>
      <w:r>
        <w:rPr>
          <w:rFonts w:ascii="Times New Roman" w:hAnsi="Times New Roman" w:eastAsia="宋体"/>
        </w:rPr>
        <w:t>本文在2022版GriddingMachine基础上构建由共享YAML schema、显式源维度映射、Gapfill、独立目录、直接NetCDF、事务式缓存及统一读取接口组成的可执行数据生命周期，实现从异构源数据到模型就绪输入的贯通。</w:t>
      </w:r>
    </w:p>
    <w:p>
      <w:r>
        <w:rPr>
          <w:rFonts w:ascii="Times New Roman" w:hAnsi="Times New Roman" w:eastAsia="宋体"/>
        </w:rPr>
        <w:t>OISST V2.1产品从四维打包源数据生成1440×720标准海表温度产品，坐标、有效值掩膜和691 150个物理值与独立参考逐点一致。对于已经内部压缩的ELEV和LAI产品，直接NetCDF在两个独立环境中将缓存预热后的端到端中位时间降低48.3%～82.9%和53.6%～69.2%；校园网内4个代表性产品通过FTP与Zenodo实现内容一致的双镜像获取，14类陆面产品生成US-NR1参数字典并进入Emerald模型初始化。</w:t>
      </w:r>
    </w:p>
    <w:p>
      <w:r>
        <w:rPr>
          <w:rFonts w:ascii="Times New Roman" w:hAnsi="Times New Roman" w:eastAsia="宋体"/>
        </w:rPr>
        <w:t>GriddingMachine由此形成面向地球系统模型的轻量数据生产与可信分发基础设施。海温产品生产、陆面参数组织与双镜像分发共同体现框架对全球规则网格数据的贯通能力，并为多时段产品、气象驱动和长期模型应用提供统一的数据基础。</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数据生产代码公开于https://github.com/jhOo1/GriddingMachineDatasets，Emerald模型接口环境公开于https://github.com/jhOo1/Emerald-paper，论文补充材料、实验协议、脚本和结果公开于https://github.com/jhOo1/GriddingMachine_Reaserach。GriddingMachine.jl和GriddingMachineDatasets的论文对应代码固定于</w:t>
      </w:r>
      <w:r>
        <w:rPr>
          <w:rFonts w:ascii="Consolas" w:hAnsi="Consolas" w:eastAsia="等线"/>
        </w:rPr>
        <w:t>paper-release</w:t>
      </w:r>
      <w:r>
        <w:rPr>
          <w:rFonts w:ascii="Times New Roman" w:hAnsi="Times New Roman" w:eastAsia="宋体"/>
        </w:rPr>
        <w:t>分支，各仓库提供版本化依赖与持续集成配置；投稿版本将通过正式发布版本（release）和永久归档保存软件、数据目录、实验结果、环境文件和绘图脚本。</w:t>
      </w:r>
    </w:p>
    <w:p>
      <w:pPr>
        <w:pStyle w:val="Heading1"/>
      </w:pPr>
      <w:r>
        <w:rPr>
          <w:rFonts w:ascii="Times New Roman" w:hAnsi="Times New Roman" w:eastAsia="宋体"/>
        </w:rPr>
        <w:t>基金项目</w:t>
      </w:r>
    </w:p>
    <w:p>
      <w:r>
        <w:rPr>
          <w:rFonts w:ascii="Times New Roman" w:hAnsi="Times New Roman" w:eastAsia="宋体"/>
        </w:rPr>
        <w:t>【待作者和通讯作者补充基金项目中文/英文名称及编号；如无资助，按期刊要求声明。】</w:t>
      </w:r>
    </w:p>
    <w:p>
      <w:pPr>
        <w:pStyle w:val="Heading1"/>
      </w:pPr>
      <w:r>
        <w:rPr>
          <w:rFonts w:ascii="Times New Roman" w:hAnsi="Times New Roman" w:eastAsia="宋体"/>
        </w:rPr>
        <w:t>作者贡献</w:t>
      </w:r>
    </w:p>
    <w:p>
      <w:r>
        <w:rPr>
          <w:rFonts w:ascii="Times New Roman" w:hAnsi="Times New Roman" w:eastAsia="宋体"/>
        </w:rPr>
        <w:t>姜皓：概念设计、方法设计、软件、数据整理、可视化、初稿撰写。王玉杰：概念设计、研究指导、项目管理、论文审阅与修改。</w:t>
      </w:r>
    </w:p>
    <w:p>
      <w:pPr>
        <w:pStyle w:val="Heading1"/>
      </w:pPr>
      <w:r>
        <w:rPr>
          <w:rFonts w:ascii="Times New Roman" w:hAnsi="Times New Roman" w:eastAsia="宋体"/>
        </w:rPr>
        <w:t>利益冲突声明</w:t>
      </w:r>
    </w:p>
    <w:p>
      <w:r>
        <w:rPr>
          <w:rFonts w:ascii="Times New Roman" w:hAnsi="Times New Roman" w:eastAsia="宋体"/>
        </w:rPr>
        <w:t>作者声明不存在利益冲突【投稿前由全体作者确认】。</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HUANG B, LIU C, BANZON V, et al. Improvements of the Daily Optimum Interpolation Sea Surface Temperature (DOISST) Version 2.1[J]. Journal of Climate, 2021, 34(8): 2923-2939. DOI: 10.1175/JCLI-D-20-0166.1.</w:t>
      </w:r>
    </w:p>
    <w:p>
      <w:r>
        <w:rPr>
          <w:rFonts w:ascii="Times New Roman" w:hAnsi="Times New Roman" w:eastAsia="宋体"/>
        </w:rPr>
        <w:t>[10]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[11] ABERNATHEY R P, AUGSPURGER T, BANIHIRWE A, et al. Cloud-native repositories for big scientific data[J]. Computing in Science &amp; Engineering, 2021, 23(2): 26-35. DOI: 10.1109/MCSE.2021.3059437.</w:t>
      </w:r>
    </w:p>
    <w:p>
      <w:r>
        <w:rPr>
          <w:rFonts w:ascii="Times New Roman" w:hAnsi="Times New Roman" w:eastAsia="宋体"/>
        </w:rPr>
        <w:t>[12] STERN C, ABERNATHEY R, HAMMAN J, et al. Pangeo Forge: Crowdsourcing analysis-ready, cloud optimized data production[J]. Frontiers in Climate, 2022, 3: 782909. DOI: 10.3389/fclim.2021.782909.</w:t>
      </w:r>
    </w:p>
    <w:p>
      <w:r>
        <w:rPr>
          <w:rFonts w:ascii="Times New Roman" w:hAnsi="Times New Roman" w:eastAsia="宋体"/>
        </w:rPr>
        <w:t>[13]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宋体"/>
        </w:rPr>
        <w:t>[14] UIEDA L, SOLER S R, RAMPIN R, et al. Pooch: A friend to fetch your data files[J]. Journal of Open Source Software, 2020, 5(45): 1943. DOI: 10.21105/joss.01943.</w:t>
      </w:r>
    </w:p>
    <w:p>
      <w:r>
        <w:rPr>
          <w:rFonts w:ascii="Times New Roman" w:hAnsi="Times New Roman" w:eastAsia="宋体"/>
        </w:rPr>
        <w:t>[15] OPEN GEOSPATIAL CONSORTIUM. SpatioTemporal Asset Catalog (STAC) Community Standard, Version 1.1.0[S/OL]. OGC 25-004, 2025[2026-08-15]. https://www.ogc.org/standards/stac/.</w:t>
      </w:r>
    </w:p>
    <w:p>
      <w:r>
        <w:rPr>
          <w:rFonts w:ascii="Times New Roman" w:hAnsi="Times New Roman" w:eastAsia="宋体"/>
        </w:rPr>
        <w:t>[16] BARKER M, CHUE HONG N P, KATZ D S, et al. Introducing the FAIR Principles for research software[J]. Scientific Data, 2022, 9: 622. DOI: 10.1038/s41597-022-01710-x.</w:t>
      </w:r>
    </w:p>
    <w:p>
      <w:r>
        <w:rPr>
          <w:rFonts w:ascii="Times New Roman" w:hAnsi="Times New Roman" w:eastAsia="宋体"/>
        </w:rPr>
        <w:t>[17] LIN D, CRABTREE J, DILLO I, et al. The TRUST Principles for digital repositories[J]. Scientific Data, 2020, 7: 144. DOI: 10.1038/s41597-020-0486-7.</w:t>
      </w:r>
    </w:p>
    <w:p>
      <w:r>
        <w:rPr>
          <w:rFonts w:ascii="Times New Roman" w:hAnsi="Times New Roman" w:eastAsia="宋体"/>
        </w:rPr>
        <w:t>[18]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2240" w:h="15840"/>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面向地球系统模型的全球网格数据生产与可信分发：GriddingMachine框架更新与应用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