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中科大校内网机构 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表明，新版流程能够保持标准化数据与独立参考的一致性，改善直接NetCDF文件的分发效率，支持FTP—Zenodo镜像内容核验，并将陆面参数和ERA5逐时数据组织为US-NR1模式输入，完成Emerald初始化和60 s首步计算。具体数值结果见第4节。</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