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模式（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四维源结构转换为1440×720标准网格，691 150个有效格点及345 650个缺失格点与独立参考逐点一致；在两个操作系统环境中，两个内部压缩产品采用直接NetCDF后，缓存预热的端到端中位时间分别较外层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operating-system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针对上述需求，本研究围绕全球网格数据从生产到模型应用的生命周期更新GriddingMachine，并将创新重点置于可执行的数据契约与跨环节衔接。在生产端，配置模板与</w:t>
      </w:r>
      <w:r>
        <w:rPr>
          <w:rFonts w:ascii="Consolas" w:hAnsi="Consolas" w:eastAsia="等线"/>
        </w:rPr>
        <w:t>YamlBuilder</w:t>
      </w:r>
      <w:r>
        <w:rPr>
          <w:rFonts w:ascii="Times New Roman" w:hAnsi="Times New Roman" w:eastAsia="宋体"/>
        </w:rPr>
        <w:t>生成YAML，通用流水线依据配置完成源维度映射、坐标和数值处理、质量检查及标准NetCDF输出；在分发端，以可直接读取的NetCDF替代二次压缩制品，通过独立目录登记机构FTP、Zenodo及其他社区镜像，并依据</w:t>
      </w:r>
      <w:r>
        <w:rPr>
          <w:rFonts w:ascii="Consolas" w:hAnsi="Consolas" w:eastAsia="等线"/>
        </w:rPr>
        <w:t>SIZE/SHA256</w:t>
      </w:r>
      <w:r>
        <w:rPr>
          <w:rFonts w:ascii="Times New Roman" w:hAnsi="Times New Roman" w:eastAsia="宋体"/>
        </w:rPr>
        <w:t>核验下载内容；在应用端，以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模型输入。本文以标准产品生产、多镜像访问和陆面数据应用呈现共享YAML契约、独立目录、事务式获取与模型就绪接口的协同作用，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744000"/>
            <wp:docPr id="1" name="Picture 1"/>
            <wp:cNvGraphicFramePr>
              <a:graphicFrameLocks noChangeAspect="1"/>
            </wp:cNvGraphicFramePr>
            <a:graphic>
              <a:graphicData uri="http://schemas.openxmlformats.org/drawingml/2006/picture">
                <pic:pic>
                  <pic:nvPicPr>
                    <pic:cNvPr id="0" name="figure1-preview-v3.png"/>
                    <pic:cNvPicPr/>
                  </pic:nvPicPr>
                  <pic:blipFill>
                    <a:blip r:embed="rId9"/>
                    <a:stretch>
                      <a:fillRect/>
                    </a:stretch>
                  </pic:blipFill>
                  <pic:spPr>
                    <a:xfrm>
                      <a:off x="0" y="0"/>
                      <a:ext cx="5400000" cy="3744000"/>
                    </a:xfrm>
                    <a:prstGeom prst="rect"/>
                  </pic:spPr>
                </pic:pic>
              </a:graphicData>
            </a:graphic>
          </wp:inline>
        </w:drawing>
      </w:r>
    </w:p>
    <w:p>
      <w:pPr>
        <w:ind w:firstLine="0"/>
      </w:pPr>
      <w:r>
        <w:rPr>
          <w:rFonts w:ascii="Times New Roman" w:hAnsi="Times New Roman" w:eastAsia="宋体"/>
          <w:b/>
        </w:rPr>
        <w:t>图1 GriddingMachine全球网格数据生命周期与新版架构</w:t>
      </w:r>
      <w:r>
        <w:rPr>
          <w:rFonts w:ascii="Times New Roman" w:hAnsi="Times New Roman" w:eastAsia="宋体"/>
        </w:rPr>
        <w:t xml:space="preserve"> 顶部概括2022版的数据集专用脚本、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基础路径。新版生命周期由三个连续阶段组成：Step 1以共享YAML契约驱动数据标准化与质量控制，生成可直接分发的标准NetCDF产品；Step 2通过独立数据目录、多镜像和事务式获取建立可信分发链；Step 3以统一读取和模型输入组织连接Emerald，并将模型应用形成的版本反馈、元数据完善和新增数据需求返回数据契约。O1—O5标识统一数据契约、直接NetCDF制品、目录独立演化、事务式获取和模型就绪接口五项核心更新，阶段末端分别给出OISST标准产品、FTP/Zenodo镜像一致性和Emerald陆面产品应用结果。</w:t>
      </w:r>
    </w:p>
    <w:p>
      <w:pPr>
        <w:ind w:firstLine="0"/>
      </w:pPr>
      <w:r>
        <w:rPr>
          <w:rFonts w:ascii="Times New Roman" w:hAnsi="Times New Roman" w:eastAsia="宋体"/>
          <w:b/>
        </w:rPr>
        <w:t>Fig. 1 Global gridded-data lifecycle and updated architecture of GriddingMachine.</w:t>
      </w:r>
      <w:r>
        <w:rPr>
          <w:rFonts w:ascii="Times New Roman" w:hAnsi="Times New Roman" w:eastAsia="宋体"/>
        </w:rPr>
        <w:t xml:space="preserve"> The upper strip summarizes the 2022 pathway based on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The updated lifecycle comprises three successive stages. Step 1 uses a shared YAML contract to drive data standardization and quality control and produces directly distributable NetCDF products. Step 2 establishes trusted distribution through an independent catalog, multiple mirrors, and transactional acquisition. Step 3 connects unified reading and model-input organization to Emerald and returns version feedback, metadata refinement, and emerging data requirements to the data contract. O1--O5 identify the unified data contract, direct NetCDF products, independent catalog evolution, transactional acquisition, and model-ready interfaces. The endpoint of each stage summarizes the OISST standard product, FTP/Zenodo mirror consistency, and the application of land products in Emerald.</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，逐点结果与独立参考数组一致。框1给出核心配置，完整字段字典、命令和目录说明保存在数据贡献指南中；产品配置还可记录来源、许可、引用和复杂时间坐标。</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生成唯一文件名。重复调用依据目标文件状态管理产品生成，完整YAML、配置摘要和软件版本共同记录处理上下文。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标准产品生产流程在各操作系统环境中保持一致行为。29个自动场景连续完成，正向图和南北反转图得到准确区分，体现了共享生产契约在数组变换、配置解析和空间方向控制方面的一致性。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机构镜像和公共镜像的可达性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缓存预热后的端到端中位时间在两个操作系统环境中分别降低48.3%～82.9%和53.6%～69.2%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校园网FTP与Zenodo完成24次同文件下载，内容摘要与目录登记值一致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个生产场景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内容摘要核验结果一致。对于已经采用NetCDF内部压缩的数据产品，直接分发减少了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13类镜像状态场景表明，Collector能够优先选择延迟较低的候选，同时保留全部URL并依次回退。每次获取采用独立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内容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各操作系统环境均可运行标准产品生产、直接NetCDF分发、多镜像获取和Emerald模型接口，并获得一致的数据结构、内容摘要和模型字段，体现了核心代码路径的可移植性与数据接口的一致性。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来源、许可、处理记录和版本信息支撑复用[1]。FAIR4RS强调科研软件的可执行性、复合依赖、持续演化和版本管理[16]；TRUST原则进一步提出透明度、责任、用户关注、可持续性和技术能力[17]。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，通过下载后校验、目录事务替换和版本化依赖连接数据产品、目录与软件环境。OISST和ELEV案例进一步将配置、坐标、科学数组、文件摘要和读取结果纳入同一溯源链，为软件与数据版本的共同引用提供基础[8]。</w:t>
      </w:r>
    </w:p>
    <w:p>
      <w:pPr>
        <w:pStyle w:val="Heading2"/>
      </w:pPr>
      <w:r>
        <w:rPr>
          <w:rFonts w:ascii="Times New Roman" w:hAnsi="Times New Roman" w:eastAsia="宋体"/>
        </w:rPr>
        <w:t>5.4 后续拓展</w:t>
      </w:r>
    </w:p>
    <w:p>
      <w:r>
        <w:rPr>
          <w:rFonts w:ascii="Times New Roman" w:hAnsi="Times New Roman" w:eastAsia="宋体"/>
        </w:rPr>
        <w:t>后续工作将沿四条路线展开。第一，迁移历史YAML，并为非规则网格、区域投影和复杂时间坐标增加数据源专用预处理模块。第二，将方向图复核与坐标单调性、值域和逐点数组断言集成，形成统一质量报告。第三，扩大FTP与Zenodo观测的文件规模、持续时间和网络环境，建立延迟辅助排序与实际下载表现的长期统计。第四，以OISST单日产品为基础扩展多时段数据生产，并将2020年ERA5气象序列、长期模型运行、结构化目录API和永久软件归档纳入版本演进，拓展科学应用与复现深度。</w:t>
      </w:r>
    </w:p>
    <w:p>
      <w:r>
        <w:rPr>
          <w:rFonts w:ascii="Times New Roman" w:hAnsi="Times New Roman" w:eastAsia="宋体"/>
        </w:rPr>
        <w:t>数据贡献流程形成固定输入路径和完整YAML示例；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字段组织均纳入自动回归。</w:t>
      </w:r>
      <w:r>
        <w:rPr>
          <w:rFonts w:ascii="Consolas" w:hAnsi="Consolas" w:eastAsia="等线"/>
        </w:rPr>
        <w:t>gm2</w:t>
      </w:r>
      <w:r>
        <w:rPr>
          <w:rFonts w:ascii="Times New Roman" w:hAnsi="Times New Roman" w:eastAsia="宋体"/>
        </w:rPr>
        <w:t>陆面链路和Emerald最小步进为逐字段科学核对、气象驱动、长期模拟和多模型适配提供接口基础。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