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更新数据生产与分发框架，构建贯通质量控制、多镜像分发、统一读取和模型调用的数据生命周期。新版以共享配置规范（schema）和YAML驱动源维度映射、坐标转换、数值变换与缺失值填补（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四维源结构转换为1440×720标准网格，691 150个有效格点及345 650个缺失格点与独立参考逐点一致；在两个独立运行环境中，两个内部压缩产品采用直接NetCDF后，缓存预热的端到端中位时间分别较外层</w:t>
      </w:r>
      <w:r>
        <w:rPr>
          <w:rFonts w:ascii="Consolas" w:hAnsi="Consolas" w:eastAsia="等线"/>
        </w:rPr>
        <w:t>tar.gz</w:t>
      </w:r>
      <w:r>
        <w:rPr>
          <w:rFonts w:ascii="Times New Roman" w:hAnsi="Times New Roman" w:eastAsia="宋体"/>
        </w:rPr>
        <w:t>归档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updates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verified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Compared with external </w:t>
      </w:r>
      <w:r>
        <w:rPr>
          <w:rFonts w:ascii="Consolas" w:hAnsi="Consolas" w:eastAsia="等线"/>
        </w:rPr>
        <w:t>tar.gz</w:t>
      </w:r>
      <w:r>
        <w:rPr>
          <w:rFonts w:ascii="Times New Roman" w:hAnsi="Times New Roman" w:eastAsia="宋体"/>
        </w:rPr>
        <w:t xml:space="preserve"> archives, direct NetCDF reduced the median warm-cache end-to-end time for two internally compressed products by 48.3%–82.9% and 53.6%–69.2% in two independent runtime environments, respectively. Four representative products underwent 24 FTP and Zenodo downloads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针对上述需求，本研究围绕全球网格数据从生产到模型应用的生命周期更新GriddingMachine，并将创新重点置于可执行的数据契约与跨环节衔接。在生产端，配置模板与</w:t>
      </w:r>
      <w:r>
        <w:rPr>
          <w:rFonts w:ascii="Consolas" w:hAnsi="Consolas" w:eastAsia="等线"/>
        </w:rPr>
        <w:t>YamlBuilder</w:t>
      </w:r>
      <w:r>
        <w:rPr>
          <w:rFonts w:ascii="Times New Roman" w:hAnsi="Times New Roman" w:eastAsia="宋体"/>
        </w:rPr>
        <w:t>生成YAML，通用流水线依据配置完成源维度映射、坐标和数值处理、质量检查及标准NetCDF输出；在分发端，以可直接读取的NetCDF替代二次压缩制品，通过独立目录登记机构FTP、Zenodo及其他社区镜像，并依据</w:t>
      </w:r>
      <w:r>
        <w:rPr>
          <w:rFonts w:ascii="Consolas" w:hAnsi="Consolas" w:eastAsia="等线"/>
        </w:rPr>
        <w:t>SIZE/SHA256</w:t>
      </w:r>
      <w:r>
        <w:rPr>
          <w:rFonts w:ascii="Times New Roman" w:hAnsi="Times New Roman" w:eastAsia="宋体"/>
        </w:rPr>
        <w:t>核验下载内容；在应用端，以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模型输入。本文以标准产品生产、多镜像访问和陆面数据应用呈现共享YAML契约、独立目录、事务式获取与模型就绪接口的协同作用，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显式设置数据根目录与目录来源。目录下载经临时文件完成schema校验和事务式替换，并保留上一有效版本。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w:t>
      </w:r>
      <w:r>
        <w:rPr>
          <w:rFonts w:ascii="Consolas" w:hAnsi="Consolas" w:eastAsia="等线"/>
        </w:rPr>
        <w:t>gm2</w:t>
      </w:r>
      <w:r>
        <w:rPr>
          <w:rFonts w:ascii="Times New Roman" w:hAnsi="Times New Roman" w:eastAsia="宋体"/>
        </w:rPr>
        <w:t>产品贯通陆面参数链路并进入Emerald初始化。</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陆面产品进入Emerald参数组织与模型初始化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YAML配置与维度转换示例</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，逐点结果与独立参考数组一致。框1给出核心配置，完整字段字典、命令和目录说明保存在数据贡献指南中；产品配置还可记录来源、许可、引用和复杂时间坐标。</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，字段信息在源数据读取前完成解析。框1和版本化指南共同构成面向贡献者的配置范式。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生成唯一文件名。重复调用依据目标文件状态管理产品生成，完整YAML、配置摘要和软件版本共同记录处理上下文。</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独立数据目录与多镜像分发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2.4.3 多镜像排序与顺序获取</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URL提取主机名，以可获得的平均往返延迟生成候选顺序；其余地址按目录顺序保留，全部URL共同组成完整回退队列。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文件。程序核对文件生成状态、字节数和SHA-256；校验通过后以原子移动进入正式路径，各次尝试的临时内容随当前状态独立回收。</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pPr>
        <w:pStyle w:val="Heading3"/>
      </w:pPr>
      <w:r>
        <w:rPr>
          <w:rFonts w:ascii="Times New Roman" w:hAnsi="Times New Roman" w:eastAsia="宋体"/>
        </w:rPr>
        <w:t>2.4.5 Collector目录管理接口</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标签完成模型就绪字段组织。确定性气象参考数据用于核对字段、形状和Emerald最小步进，</w:t>
      </w:r>
      <w:r>
        <w:rPr>
          <w:rFonts w:ascii="Consolas" w:hAnsi="Consolas" w:eastAsia="等线"/>
        </w:rPr>
        <w:t>gm2</w:t>
      </w:r>
      <w:r>
        <w:rPr>
          <w:rFonts w:ascii="Times New Roman" w:hAnsi="Times New Roman" w:eastAsia="宋体"/>
        </w:rPr>
        <w:t>文件则贯通陆面参数链路。</w:t>
      </w:r>
    </w:p>
    <w:p>
      <w:pPr>
        <w:pStyle w:val="Heading2"/>
      </w:pPr>
      <w:r>
        <w:rPr>
          <w:rFonts w:ascii="Times New Roman" w:hAnsi="Times New Roman" w:eastAsia="宋体"/>
        </w:rPr>
        <w:t>2.6 数据获取与模型输入调用示例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数据根目录、更新目录、校验下载、读取US-NR1附近格点，并进一步生成2020年陆面参数字典。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标准产品生产流程在各操作系统环境中保持一致行为。29个自动场景连续完成，正向图和南北反转图得到准确区分，体现了共享生产契约在数组变换、配置解析和空间方向控制方面的一致性。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数据贡献案例依次完成配置生成、标准化、自动与人工质量检查、产品发布、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OISST产品生产</w:t>
      </w:r>
    </w:p>
    <w:p>
      <w:r>
        <w:rPr>
          <w:rFonts w:ascii="Times New Roman" w:hAnsi="Times New Roman" w:eastAsia="宋体"/>
        </w:rPr>
        <w:t>异构海温产品案例采用NOAA/NCEI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多镜像访问与事务式获取</w:t>
      </w:r>
    </w:p>
    <w:p>
      <w:r>
        <w:rPr>
          <w:rFonts w:ascii="Times New Roman" w:hAnsi="Times New Roman" w:eastAsia="宋体"/>
        </w:rPr>
        <w:t>多镜像可靠性分析在两个独立环境中构建内容一致、访问状态可配置的镜像集合，通过延迟分数组织候选顺序，并组合响应延迟、访问中断、内容差异和传输完整性等条件。各类条件重复5次，记录候选选择、镜像遍历、正式文件状态及SHA-256，据此刻画事务式获取在不同镜像状态下的稳定性。校园网FTP与Zenodo访问进一步呈现机构镜像和公共镜像的互补分发特征与内容一致性。</w:t>
      </w:r>
    </w:p>
    <w:p>
      <w:pPr>
        <w:pStyle w:val="Heading3"/>
      </w:pPr>
      <w:r>
        <w:rPr>
          <w:rFonts w:ascii="Times New Roman" w:hAnsi="Times New Roman" w:eastAsia="宋体"/>
        </w:rPr>
        <w:t>3.3.3 FTP与Zenodo镜像访问</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与Emerald初始化。确定性参考数据用于核对字段名、形状、类型、时间索引和NaN处理；陆面案例采用2020年</w:t>
      </w:r>
      <w:r>
        <w:rPr>
          <w:rFonts w:ascii="Consolas" w:hAnsi="Consolas" w:eastAsia="等线"/>
        </w:rPr>
        <w:t>gm2</w:t>
      </w:r>
      <w:r>
        <w:rPr>
          <w:rFonts w:ascii="Times New Roman" w:hAnsi="Times New Roman" w:eastAsia="宋体"/>
        </w:rPr>
        <w:t>产品，在US-NR1附近植被格点和典型非植被格点呈现不同陆面状态下的模型入口。</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持续集成使用确定性NetCDF参考数据维护代码路径、文件状态和内容完整性，本地环境进一步覆盖ELEV/LAI效率、FTP—Zenodo镜像访问和</w:t>
      </w:r>
      <w:r>
        <w:rPr>
          <w:rFonts w:ascii="Consolas" w:hAnsi="Consolas" w:eastAsia="等线"/>
        </w:rPr>
        <w:t>gm2</w:t>
      </w:r>
      <w:r>
        <w:rPr>
          <w:rFonts w:ascii="Times New Roman" w:hAnsi="Times New Roman" w:eastAsia="宋体"/>
        </w:rPr>
        <w:t>陆面案例，共同形成从自动维护到数据应用的分层运行体系。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和SHA-256；经回环HTTP事务式下载后，正式文件摘要与目录完全一致，缓存目录中的</w:t>
      </w:r>
      <w:r>
        <w:rPr>
          <w:rFonts w:ascii="Consolas" w:hAnsi="Consolas" w:eastAsia="等线"/>
        </w:rPr>
        <w:t>.part</w:t>
      </w:r>
      <w:r>
        <w:rPr>
          <w:rFonts w:ascii="Times New Roman" w:hAnsi="Times New Roman" w:eastAsia="宋体"/>
        </w:rPr>
        <w:t>文件回收率为100%。</w:t>
      </w:r>
      <w:r>
        <w:rPr>
          <w:rFonts w:ascii="Consolas" w:hAnsi="Consolas" w:eastAsia="等线"/>
        </w:rPr>
        <w:t>read_dataset</w:t>
      </w:r>
      <w:r>
        <w:rPr>
          <w:rFonts w:ascii="Times New Roman" w:hAnsi="Times New Roman" w:eastAsia="宋体"/>
        </w:rPr>
        <w:t>读取的整场数组与独立参考逐点一致，形成从源产品、共享YAML生产、完整性目录到统一读取的端到端数据链路。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个生产场景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w:t>
      </w:r>
      <w:r>
        <w:rPr>
          <w:rFonts w:ascii="Consolas" w:hAnsi="Consolas" w:eastAsia="等线"/>
        </w:rPr>
        <w:t>SIZE</w:t>
      </w:r>
      <w:r>
        <w:rPr>
          <w:rFonts w:ascii="Times New Roman" w:hAnsi="Times New Roman" w:eastAsia="宋体"/>
        </w:rPr>
        <w:t>和SHA-256与文件相符；完整YAML示例和固定输入路径构成可直接复用的数据贡献模板。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13类镜像状态场景表明，Collector能够优先选择延迟较低的候选，同时保留全部URL并依次回退。每次获取采用独立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r>
        <w:rPr>
          <w:rFonts w:ascii="Times New Roman" w:hAnsi="Times New Roman" w:eastAsia="宋体"/>
        </w:rPr>
        <w:t>镜像状态场景与FTP—Zenodo访问共同呈现候选排序、顺序回退、事务落盘和内容核验的完整过程。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GriddingMachine输出进入Emerald参数组织、气象组织、模型初始化和60 s单步计算，建立从标准数据读取到模型首个时间步的直接连接。</w:t>
      </w:r>
    </w:p>
    <w:p>
      <w:r>
        <w:rPr>
          <w:rFonts w:ascii="Times New Roman" w:hAnsi="Times New Roman" w:eastAsia="宋体"/>
        </w:rPr>
        <w:t>陆面案例使用2020年</w:t>
      </w:r>
      <w:r>
        <w:rPr>
          <w:rFonts w:ascii="Consolas" w:hAnsi="Consolas" w:eastAsia="等线"/>
        </w:rPr>
        <w:t>gm2</w:t>
      </w:r>
      <w:r>
        <w:rPr>
          <w:rFonts w:ascii="Times New Roman" w:hAnsi="Times New Roman" w:eastAsia="宋体"/>
        </w:rPr>
        <w:t>的14类标准产品，文件大小、来源摘要和SHA-256均通过核验。US-NR1站点映射至相应规则格点，</w:t>
      </w:r>
      <w:r>
        <w:rPr>
          <w:rFonts w:ascii="Consolas" w:hAnsi="Consolas" w:eastAsia="等线"/>
        </w:rPr>
        <w:t>grid_dict</w:t>
      </w:r>
      <w:r>
        <w:rPr>
          <w:rFonts w:ascii="Times New Roman" w:hAnsi="Times New Roman" w:eastAsia="宋体"/>
        </w:rPr>
        <w:t>组织34个模型字段、366日季节序列、4个土壤层和17个植物功能型，高程、陆地掩膜与叶面积指数得到一致读取。撒哈拉案例返回非植被格点状态，体现了接口根据陆面特征组织模型入口的能力。</w:t>
      </w:r>
      <w:r>
        <w:rPr>
          <w:rFonts w:ascii="Consolas" w:hAnsi="Consolas" w:eastAsia="等线"/>
        </w:rPr>
        <w:t>gm2</w:t>
      </w:r>
      <w:r>
        <w:rPr>
          <w:rFonts w:ascii="Times New Roman" w:hAnsi="Times New Roman" w:eastAsia="宋体"/>
        </w:rPr>
        <w:t>文件由此贯通完整性目录、统一读取和陆面参数组织，并覆盖植被与非植被入口。</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各操作系统环境均可运行标准产品生产、直接NetCDF分发、多镜像获取和Emerald模型接口，并获得一致的数据结构、SHA-256摘要和模型字段，体现了核心代码路径的可移植性与数据接口的一致性。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w:t>
      </w:r>
      <w:r>
        <w:rPr>
          <w:rFonts w:ascii="Consolas" w:hAnsi="Consolas" w:eastAsia="等线"/>
        </w:rPr>
        <w:t>gm2</w:t>
      </w:r>
      <w:r>
        <w:rPr>
          <w:rFonts w:ascii="Times New Roman" w:hAnsi="Times New Roman" w:eastAsia="宋体"/>
        </w:rPr>
        <w:t>陆面链路连接数据产品与模型。海温与陆面产品共同呈现框架在全球规则网格数据生命周期中的适用性。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来源、许可、处理记录和版本信息支撑复用[1]。FAIR4RS强调科研软件的可执行性、复合依赖、持续演化和版本管理[16]；TRUST原则进一步提出透明度、责任、用户关注、可持续性和技术能力[17]。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，通过下载后校验、目录事务替换和版本化依赖连接数据产品、目录与软件环境。OISST和ELEV案例进一步将配置、坐标、科学数组、文件摘要和读取结果纳入同一溯源链，为软件与数据版本的共同引用提供基础[8]。</w:t>
      </w:r>
    </w:p>
    <w:p>
      <w:pPr>
        <w:pStyle w:val="Heading2"/>
      </w:pPr>
      <w:r>
        <w:rPr>
          <w:rFonts w:ascii="Times New Roman" w:hAnsi="Times New Roman" w:eastAsia="宋体"/>
        </w:rPr>
        <w:t>5.4 后续拓展</w:t>
      </w:r>
    </w:p>
    <w:p>
      <w:r>
        <w:rPr>
          <w:rFonts w:ascii="Times New Roman" w:hAnsi="Times New Roman" w:eastAsia="宋体"/>
        </w:rPr>
        <w:t>后续工作将沿四条路线展开。第一，迁移历史YAML，并为非规则网格、区域投影和复杂时间坐标增加数据源专用预处理模块。第二，将方向图复核与坐标单调性、值域和逐点数组断言集成，形成统一质量报告。第三，扩大FTP与Zenodo观测的文件规模、持续时间和网络环境，建立延迟辅助排序与实际下载表现的长期统计。第四，以OISST单日产品为基础扩展多时段数据生产，并将2020年ERA5气象序列、长期模型运行、结构化目录API和永久软件归档纳入版本演进，拓展科学应用与复现深度。</w:t>
      </w:r>
    </w:p>
    <w:p>
      <w:r>
        <w:rPr>
          <w:rFonts w:ascii="Times New Roman" w:hAnsi="Times New Roman" w:eastAsia="宋体"/>
        </w:rPr>
        <w:t>数据贡献流程形成固定输入路径和完整YAML示例；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字段组织均纳入自动回归。</w:t>
      </w:r>
      <w:r>
        <w:rPr>
          <w:rFonts w:ascii="Consolas" w:hAnsi="Consolas" w:eastAsia="等线"/>
        </w:rPr>
        <w:t>gm2</w:t>
      </w:r>
      <w:r>
        <w:rPr>
          <w:rFonts w:ascii="Times New Roman" w:hAnsi="Times New Roman" w:eastAsia="宋体"/>
        </w:rPr>
        <w:t>陆面链路和Emerald最小步进为逐字段科学核对、气象驱动、长期模拟和多模型适配提供接口基础。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schema、显式源维度映射、Gapfill、独立目录、直接NetCDF、事务式缓存及统一读取接口组成的可执行数据生命周期。OISST V2.1产品从四维打包源数据生成1440×720标准海表温度产品，坐标、有效值掩膜和691 150个物理值与独立参考逐点一致；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