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与8类ERA5逐时产品在US-NR1形成参数和气象驱动，8784个时间步与底层NetCDF读取逐点一致，并完成Emerald初始化和60 s首步计算。新版GriddingMachine由此形成面向全球规则网格数据的可配置生产、可信分发和模型就绪应用框架，为地球系统数据产品的持续维护与复用提供轻量化基础设施。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matched direct NetCDF reads, and Emerald initialization and a 60 s first step completed with finite states.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[9]、高程（ELEV）与叶面积指数（LAI）产品分发效率、FTP—Zenodo镜像访问，以及由14类陆面产品和8类ERA5逐时产品[10]构成的US-NR1模型应用，分别呈现该框架的标准化能力、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统一的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方向正确与南北反转的非对称位置编码图得到准确区分。YAML中的</w:t>
      </w:r>
      <w:r>
        <w:rPr>
          <w:rFonts w:ascii="Consolas" w:hAnsi="Consolas" w:eastAsia="等线"/>
        </w:rPr>
        <w:t>VERIFY_ONCE</w:t>
      </w:r>
      <w:r>
        <w:rPr>
          <w:rFonts w:ascii="Times New Roman" w:hAnsi="Times New Roman" w:eastAsia="宋体"/>
        </w:rPr>
        <w:t>用于管理同一配置组合的首次确认状态，人工空间判断与自动坐标、结构和逐点数值检查共同组成方向质量控制体系。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版本化指南与包含固定输入路径、完整YAML示例的贡献模板进一步连接各环节，使最终NetCDF、目录项与下游读取保持一致。</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连接远端目录获取、结构确认和版本切换，实现数据目录的独立发布与持续更新。</w:t>
      </w:r>
    </w:p>
    <w:p>
      <w:pPr>
        <w:pStyle w:val="Heading3"/>
      </w:pPr>
      <w:r>
        <w:rPr>
          <w:rFonts w:ascii="Times New Roman" w:hAnsi="Times New Roman" w:eastAsia="宋体"/>
        </w:rPr>
        <w:t>2.4.2 镜像选择与事务式缓存</w:t>
      </w:r>
    </w:p>
    <w:p>
      <w:r>
        <w:rPr>
          <w:rFonts w:ascii="Times New Roman" w:hAnsi="Times New Roman" w:eastAsia="宋体"/>
        </w:rPr>
        <w:t>产品获取接口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全库同步在更新目录后遍历标签并复用相同事务逻辑；历史数据整理、目录树和数据集状态查询形成配套维护接口。相关命令、参数和状态恢复方式集中列入补充材料与版本化用户指南。</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新版GriddingMachine的主要功能与应用表现汇总于表4。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14类陆面产品与8类ERA5产品形成US-NR1模型输入，8784个逐时值逐字段一致并完成Emerald首步</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，使标准产品元数据、数值尺度和模型换算形成一致的量纲链条。真实年度案例由此将模型就绪应用从字段组织推进到格点提取、时间轴构建、量纲衔接和模型首步计算的完整过程。</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公共网络中的Zenodo下载和校园网中的FTP—Zenodo对照均通过完整性核验，共同呈现公共镜像与机构镜像的互补价值。</w:t>
      </w:r>
    </w:p>
    <w:p>
      <w:r>
        <w:rPr>
          <w:rFonts w:ascii="Times New Roman" w:hAnsi="Times New Roman" w:eastAsia="宋体"/>
        </w:rPr>
        <w:t>GriddingMachine、GriddingMachineDatasets、Emerald及研究材料仓库的持续集成工作流连接统一依赖、确定性参考数据和模型接口，使软件更新持续继承本文建立的数据生产、可信分发和模型调用能力。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把这一数据集合扩展为可维护的生命周期框架：共享YAML契约保存异构源数据的处理意图，独立目录与事务缓存连接机构和公共镜像，模型就绪层组织陆面参数与逐时气象驱动。OISST、ELEV/LAI、FTP—Zenodo及US-NR1案例分别从生产、分发和应用层呈现框架能力，使数据产品的生成依据、网络副本、内容摘要与模型字段建立可追踪联系。</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[12]；Pangeo倡导分析就绪、云优化数据以及计算与数据邻近的云原生模式[13]，Pangeo Forge进一步以可复用配方和目录组织分析就绪数据生产[14]。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[14]，本文流程侧重可直接下载的单体NetCDF、离线缓存、完整性落盘和固定模型接口。云优化分块格式适配超大规模近数据计算[13]，ESGF适配CMIP等机构联合治理[12]，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[15]；Pooch以文件名、URL和SHA-256注册表实现远端文件获取、本地缓存和完整性校验[16]；STAC为广泛地理空间资产提供通用元数据结构与查询标准[17]。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[18]；TRUST原则进一步提出透明度、责任、用户关注、可持续性和技术能力[19]。对我国国家科学数据中心的调研也显示，标准化元数据、持久标识与清晰的数据使用信息是提升科学数据复用水平的重要环节[20]。</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数据贡献模板、规则网格索引、陆面状态分流、参数融合及气象驱动组织共同构成数据产品与地球系统模型之间的轻量中间层。真实案例推动模型就绪层形成覆盖字段、形状、时间轴和量纲关系的质量契约，并为多区域、多年份、长期积分及多模型适配提供可复用的数据入口。</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数据生产与可信分发基础设施。海温产品生产、双镜像分发以及陆面—气象参数联合组织共同体现框架对全球规则网格数据的贯通能力；ERA5案例进一步贯通真实逐时气象产品的格点读取、时间组织、量纲适配和模型调用，为多区域、多时段产品及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，标准NetCDF产品由中科大机构FTP提供；PPT修订制品以V1_R1物理文件发布，逻辑标签保持V1。独立目录支持在同一逻辑标签下继续登记Zenodo等内容一致的公共镜像。投稿代码分别固定于</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标签，论文与复现材料固定于</w:t>
      </w:r>
      <w:r>
        <w:rPr>
          <w:rFonts w:ascii="Consolas" w:hAnsi="Consolas" w:eastAsia="等线"/>
        </w:rPr>
        <w:t>griddingmachine-manuscript-2026-v1</w:t>
      </w:r>
      <w:r>
        <w:rPr>
          <w:rFonts w:ascii="Times New Roman" w:hAnsi="Times New Roman" w:eastAsia="宋体"/>
        </w:rPr>
        <w:t>标签；</w:t>
      </w:r>
      <w:r>
        <w:rPr>
          <w:rFonts w:ascii="Consolas" w:hAnsi="Consolas" w:eastAsia="等线"/>
        </w:rPr>
        <w:t>论文/投稿版本锁定.toml</w:t>
      </w:r>
      <w:r>
        <w:rPr>
          <w:rFonts w:ascii="Times New Roman" w:hAnsi="Times New Roman" w:eastAsia="宋体"/>
        </w:rPr>
        <w:t>记录对应提交、数据摘要及发布地址。</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