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后的坐标与物理值均与独立参考一致，直接NetCDF分发降低了访问开销，多源网格数据能够形成满足模式接口要求的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land parameters and meteorological forcing from multiple sources are assembled into model inputs on the basis of unified reading. Application cases show that standardized coordinates and physical values agree with independent references, direct NetCDF distribution reduces access overhead, and gridded data from multiple sources can be assembled into inputs that meet model-interface requirements.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为促进科学数据的发现、访问和复用，FAIR原则强调可发现（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eusable）[1]。NetCDF适合组织多维科学数据及其坐标信息[2]，CF元数据约定进一步规范变量、坐标和时空属性[3]。Google Earth Engine等云平台通过改善数据表达、发现、访问及计算，提升了大尺度地学数据的访问和分析能力[4]。这些原则、格式与平台为数据复用提供了基础；本地模式试验还需要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在数据维护和模式接入方面面临新的需求：处理规则主要保存在数据源专用脚本中，新增数据需分别适配；标准NetCDF经外层tar.gz归档后分发，使用时仍需解包，数据目录随软件包维护也使数据更新与软件发布相互关联；在获得标准网格数据后，具体模式所需的参数和气象序列仍由应用程序进一步组合，并完成时间与单位衔接。</w:t>
      </w:r>
    </w:p>
    <w:p>
      <w:r>
        <w:rPr>
          <w:rFonts w:ascii="Times New Roman" w:hAnsi="Times New Roman" w:eastAsia="Songti SC"/>
          <w:b w:val="0"/>
        </w:rPr>
        <w:t>针对这些需求，框架改进需要提高处理规则的复用程度，使数据目录更新与软件发布分开维护，并加强标准网格数据与模式接口的衔接。数据源特有的转换规则与通用程序分开后，新增数据可沿用已有流程；文件分发减少外层归档，并将数据目录与访问软件分开维护，有助于简化获取和更新；在一致的网格读取基础上组织参数、时间轴和单位换算，则可减少各模式重复编写数据接入程序。这些环节通过标准NetCDF和数据标签连接，保持从源数据处理到模式使用的连续性。</w:t>
      </w:r>
    </w:p>
    <w:p>
      <w:r>
        <w:rPr>
          <w:rFonts w:ascii="Times New Roman" w:hAnsi="Times New Roman" w:eastAsia="Songti SC"/>
          <w:b w:val="0"/>
        </w:rPr>
        <w:t>本文从数据预处理、分发与读取三个方面更新2022版GriddingMachine，建立配置驱动的标准化、直接NetCDF分发和模式输入组织相衔接的数据流程，并完善Matlab、Octave、Python和R对新版数据的自动下载支持，新增C和Fortran下载入口。研究通过受控处理实例和真实海表温度数据检验标准化结果，通过高程与叶面积指数数据的分发比较和网络镜像获取评价访问效率与内容一致性，并以Emerald陆面过程模式为应用载体，展示陆面参数与逐时气象数据向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文件获取和模式使用的顺序组织为三个环节（图1）。数据生产与标准化层依据源数据和以文本配置格式YAML保存的处理规则，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数据库包含高程与陆地掩膜、土壤水力性质、植被结构与叶片属性，以及气象驱动等数据，按类别、空间与时间分辨率、年份和版本组织标签。2026年8月15日的目录审计共记录1179个数据条目，均登记机构文件传输协议（File Transfer Protocol，FTP）地址，部分同时配置Zenodo镜像。面向模式使用，预定义陆面参数集合将土壤、冠层和叶片等数据按字段组合，气象驱动集合则按变量和年份组织逐时数据，使科研程序能够依据格点与年份调用相应输入。</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数据预处理采用YAML配置，将数据源差异与通用处理程序分开。配置描述输入文件、源变量、维度语义、坐标方向、数值转换、缺失值填补（gap filling）及质量检查要求，处理程序据此完成转换，再按照统一的空间和变量约定输出NetCDF文件。配置规范在执行前检查必需信息、字段类型及相互关系，使程序化与交互式生成的配置遵循相同约定。配置及实际执行的处理记录共同保留源数据到标准化数据的转换过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r>
        <w:rPr>
          <w:rFonts w:ascii="Times New Roman" w:hAnsi="Times New Roman" w:eastAsia="Songti SC"/>
          <w:b w:val="0"/>
        </w:rPr>
        <w:t>框架同时提供程序化和本地交互式配置生成方式。二者输出均通过同一配置规范校验，再由标准化处理函数</w:t>
      </w:r>
      <w:r>
        <w:rPr>
          <w:rFonts w:ascii="Consolas" w:hAnsi="Consolas" w:eastAsia="Songti SC"/>
        </w:rPr>
        <w:t>process_dataset!</w:t>
      </w:r>
      <w:r>
        <w:rPr>
          <w:rFonts w:ascii="Times New Roman" w:hAnsi="Times New Roman" w:eastAsia="Songti SC"/>
          <w:b w:val="0"/>
        </w:rPr>
        <w:t>执行，使数据贡献者可以复用通用流程，集中描述各数据源的转换规则。</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标准化数据生产引擎根据配置定位输入与输出文件，读取主变量及可选不确定性变量，将数值转换为</w:t>
      </w:r>
      <w:r>
        <w:rPr>
          <w:rFonts w:ascii="Consolas" w:hAnsi="Consolas" w:eastAsia="Songti SC"/>
        </w:rPr>
        <w:t>Float32</w:t>
      </w:r>
      <w:r>
        <w:rPr>
          <w:rFonts w:ascii="Times New Roman" w:hAnsi="Times New Roman" w:eastAsia="Songti SC"/>
          <w:b w:val="0"/>
        </w:rPr>
        <w:t>后，执行配置指定的维度重排、坐标翻转或经度循环平移、线性缩放、有效范围过滤和缺失值处理。生产流程在保存前检查输出维度、坐标、变量、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陆地掩膜检查；其他分辨率采用对应的专用规则。带经纬度坐标轴的空间方向图用于人工确认，补充自动结构与坐标检查；</w:t>
      </w:r>
      <w:r>
        <w:rPr>
          <w:rFonts w:ascii="Consolas" w:hAnsi="Consolas" w:eastAsia="Songti SC"/>
        </w:rPr>
        <w:t>VERIFY_ONCE</w:t>
      </w:r>
      <w:r>
        <w:rPr>
          <w:rFonts w:ascii="Times New Roman" w:hAnsi="Times New Roman" w:eastAsia="Songti SC"/>
          <w:b w:val="0"/>
        </w:rPr>
        <w:t>记录同一配置组合的首次方向确认。</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FTP服务器、超文本传输协议（HTTP/HTTPS）服务或Zenodo科研资源存储平台，目录生成器根据本地用于发布的标准NetCDF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的数据目录与获取模块Collector配置数据根目录、目录来源和本地目录文件。目录条目以标签为键，核心字段包括安全相对路径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。远端目录先下载至临时路径，经根节点和字段规范校验后再替换正式目录，并保留上一有效版本，使本地程序在更新前后均可读取结构有效的目录。已有条目按其登记字段保留兼容访问方式。</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分发地址变化时，可以通过目录调整候选镜像，科研程序继续按标签获取相同内容的数据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。模式输入组织层直接继承数据生产与标准化层统一的单位、缺失值和物理范围，使处理规则集中于共享处理规范，并兼容既有读取方式。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将叶面积指数、叶绿素、冠层聚集度和最大羧化速率等季节序列组织到同一年度的逐日时间轴。缺失值填补后，月尺度数据按各月实际天数展开，8日尺度数据按相应覆盖日期展开，并依据年份保留365或366日。不同时间分辨率的参数由此形成可按日期调用的序列。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叶片光学参数与Medlyn气孔导度模型参数按采用C3与C4光合途径的两类植物分别组织[6,7]：C3参数按格点内对应植物功能型比例归一化加权，C4参数从相应类型的参数表提取，以保留两类植物的参数差异。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接口可按输入经纬度读取对应格点，或从已加载的全域气象数组提取格点序列。时间轴按逐小时序列构建浮点年积日（fractional day of year，</w:t>
      </w:r>
      <w:r>
        <w:rPr>
          <w:rFonts w:ascii="Consolas" w:hAnsi="Consolas" w:eastAsia="Songti SC"/>
        </w:rPr>
        <w:t>FDOY</w:t>
      </w:r>
      <w:r>
        <w:rPr>
          <w:rFonts w:ascii="Times New Roman" w:hAnsi="Times New Roman" w:eastAsia="Songti SC"/>
          <w:b w:val="0"/>
        </w:rPr>
        <w:t>），并以经度除以15换算时间偏移：经纬度调用方式使用输入位置的经度，数组索引方式使用格点中心经度。输出字段完整性与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将基础读取与模式输入组织衔接：读取接口提供网格或格点数值，参数与气象接口进一步组合变量并构建相应时间序列。研究人员可由此复用标准化数据，再按模式接口要求形成输入；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Temperature，OISST）用于检查统一流程能否正确处理源维度、坐标和数值差异；高程数据（ELEV）与叶面积指数数据（Leaf Area Index，LAI）的分发对照用于量化省去外层归档后的访问开销，网络镜像获取用于检查不同地址提供的文件内容是否一致；北美通量观测站US-NR1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Windows、macOS、Linux持续集成；C与Fortran编译及下载测试</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处理实例按评价目标分为结构转换、数值处理和配置复用三类。结构转换比较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经度平移后的逐点对应关系；数值处理依据设定规则核对线性缩放、范围过滤和缺失值填补结果；配置复用检查字段与变量数量、</w:t>
      </w:r>
      <w:r>
        <w:rPr>
          <w:rFonts w:ascii="Consolas" w:hAnsi="Consolas" w:eastAsia="Songti SC"/>
        </w:rPr>
        <w:t>data/std</w:t>
      </w:r>
      <w:r>
        <w:rPr>
          <w:rFonts w:ascii="Times New Roman" w:hAnsi="Times New Roman" w:eastAsia="Songti SC"/>
          <w:b w:val="0"/>
        </w:rPr>
        <w:t>保存、已有数据集和标签状态，使配置生成、重复执行与目录登记遵循一致约定。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后直接执行标准化，核对输出与参考数组是否一致。数据贡献案例连接配置生成、自动与人工质量检查、发布、目录登记及下游更新、下载和读取，检查各环节形成的数据能否继续被下一环节调用。</w:t>
      </w:r>
    </w:p>
    <w:p>
      <w:r>
        <w:rPr>
          <w:rFonts w:ascii="Times New Roman" w:hAnsi="Times New Roman" w:eastAsia="Songti SC"/>
          <w:b w:val="0"/>
        </w:rPr>
        <w:t>ELEV重复处理案例以已有标准NetCDF为输入，先比较统一读取与底层NetCDF读取的数组和坐标，再采用显式标准维度、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及不执行缩放和范围裁剪的配置连续处理3次。评价比较每次输出的</w:t>
      </w:r>
      <w:r>
        <w:rPr>
          <w:rFonts w:ascii="Consolas" w:hAnsi="Consolas" w:eastAsia="Songti SC"/>
        </w:rPr>
        <w:t>data/lon/lat</w:t>
      </w:r>
      <w:r>
        <w:rPr>
          <w:rFonts w:ascii="Times New Roman" w:hAnsi="Times New Roman" w:eastAsia="Songti SC"/>
          <w:b w:val="0"/>
        </w:rPr>
        <w:t>与输入是否一致，以及各次输出文件的SHA-256是否相同，用于检查标准化数据在重复处理中的保持情况。</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总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评价使用不同版本的Artifacts.yaml、多个NetCDF数据集和两个镜像端点，覆盖目录首次建立与更新、单数据集获取、全库同步、历史整理和状态查询。各操作通过重复调用检查能否保持相同的有效结果，并记录临时文件、正式文件所在目录和候选镜像的变化。确定性小型目录使这些变化能够与预设结果直接比较。</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真实网络获取和US-NR1应用案例按实际运行环境分别记录；完整的系统与测试项目对应关系见补充材料S5。</w:t>
      </w:r>
    </w:p>
    <w:p>
      <w:r>
        <w:rPr>
          <w:rFonts w:ascii="Times New Roman" w:hAnsi="Times New Roman" w:eastAsia="Songti SC"/>
          <w:b w:val="0"/>
        </w:rPr>
        <w:t>C和Fortran下载入口分别编译后，通过回环HTTP获取同一确定性参考文件，核对程序退出状态、文件字节数、SHA-256和临时文件残留；同时采用含空格的源URL与本地输出路径，检查路径参数能否正确传递给共享下载脚本。评价以实际下载文件与参考文件的内容一致性为判据。</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数据贡献案例完成配置生成、标准化、目录登记和下游读取后，最终读取数组与参考数组逐点一致，说明共享配置形成的标准网格能够继续用于下游数据访问。</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OISST案例展示了共享处理规范对异构地学源数据的组织能力。原始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统一读取获得的全域网格数组也与独立参考逐点一致。生成文件为997 006字节，目录登记的字节数和SHA-256与文件相符；经回环HTTP下载后，正式文件摘要保持一致，临时文件完成回收。这些结果说明源数据转换形成的标准网格能够经目录登记、文件获取和统一读取传递到下游程序，保持坐标与物理值的一致性。</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ms，降幅为48.3%和82.9%；环境B中的相应降幅分别为53.6%和69.2%（图3）。两个数据文件的传输字节分别增加6.43%和2.16%，临时文件总大小分别减少约48%和49%。80次SHA-256摘要核验结果一致。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获取、缓存复用和内容核验结果均符合预设。候选地址按延迟辅助排序，访问或内容核验未通过时继续尝试其余镜像；下载内容经临时文件核验后进入正式路径，已有正式文件在失败尝试中保持原有摘要。结果说明镜像回退可以与内容核验配合，在调整获取地址的同时保持本地文件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说明公共镜像能够向本地程序提供与目录登记一致的数据文件。</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按相应陆面状态组织参数。同一参数集合由此能够依据格点的植被状态形成对应输入，支持植被与非植被格点的模式接入。</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对应格点的8类气象变量均得到8784个逐小时值，有限值比例均为100%；模式输入组织层输出与底层NetCDF逐点读取的8个字段最大绝对差均为0。按输入站点经度计算的时间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降水数值与单位核对表明，PPT全年累计值为0.496409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系统测试中，核心流程的数据结构、逐点数值、文件摘要和接口状态保持一致，GriddingMachine、GriddingMachineDatasets及Emerald合成输入接口通过相应检查。上述标准化、镜像获取和模式输入结果共同说明，数据约定能够在不同操作系统的相应运行路径中保持一致；各系统测试项目与结果见补充材料S5。</w:t>
      </w:r>
    </w:p>
    <w:p>
      <w:r>
        <w:rPr>
          <w:rFonts w:ascii="Times New Roman" w:hAnsi="Times New Roman" w:eastAsia="Songti SC"/>
          <w:b w:val="0"/>
        </w:rPr>
        <w:t>C和Fortran入口已完成编译与下载测试，下载文件通过字节数和SHA-256完整性校验。多语言入口由此能够在已有科研程序中获取与登记内容一致的数据文件。</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建立了统一网格、变量约定、标签访问和多语言接口[5]，使研究人员能够使用共同的数据基础。新版进一步将不同环节的更新与维护分开：同类源数据更新时，可调整处理配置并复用通用程序；分发地址变化时，可更新目录中的镜像与文件信息，模式侧继续通过已有标签读取；不同来源的数据接入同一模式时，则可复用参数与气象组织方法。数据维护因此能够围绕变化所在的环节开展，减少处理程序、文件获取与模式调用之间的联动修改。</w:t>
      </w:r>
    </w:p>
    <w:p>
      <w:r>
        <w:rPr>
          <w:rFonts w:ascii="Times New Roman" w:hAnsi="Times New Roman" w:eastAsia="Songti SC"/>
          <w:b w:val="0"/>
        </w:rPr>
        <w:t>统一约定还需要同时支持数据更新和既有试验的复现。ERA5降水修订中，下游逻辑标签保持不变，实际文件位置及完整性信息在目录中更新，使调用程序能够继续使用已有入口。对某次模式试验，保存当时的目录、文件摘要、处理配置和代码版本则能够明确实际使用的数据与转换过程。标签用于简化调用，归档记录用于还原试验，两者共同支持数据库的持续维护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标准网格数据进入模式之前，还需要建立变量之间的空间、时间和物理联系。US-NR1案例中，陆面参数提供土壤、冠层和叶片属性及其季节变化，ERA5逐时序列提供同一年度的气象条件；参数与气象接口在基础读取之后，分别完成字段组合、时间轴构建和模式所需的量纲转换。降水单位修订说明了这种衔接的必要性：文件中的数值必须结合单位解释，才能正确进入模式通量换算。因此，基于统一读取的输入组织使来自多个数据源的变量形成具有明确物理含义、能够由模式直接调用的参数和气象驱动，减少了各模式分别整理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已有数据基础设施从数据表达、发现和计算等方面支持科学数据复用。NetCDF/CF规范多维数组及元数据表达[2,3]，地球系统数据立方体促进多变量时空数据的联合组织与分析[12]；Google Earth Engine提供云端遥感数据访问与计算[4]，ESGF组织分布式气候模式数据发现和访问[14]，Pangeo及Pangeo Forge支持云端数据组织与可复用处理配方[15,16]。对本地模式试验，这些能力需要进一步落实为可反复调用的数据输入。GriddingMachine将标准化结果与处理规则保存在本地科研流程中，并按模式所需的格点、时间和变量关系组织数据，使共享数据便于进入已有模式程序。其Julia实现[13]支持数据处理与模式接口的组合调用，便于在既有计算环境中复用。</w:t>
      </w:r>
    </w:p>
    <w:p>
      <w:r>
        <w:rPr>
          <w:rFonts w:ascii="Times New Roman" w:hAnsi="Times New Roman" w:eastAsia="Songti SC"/>
          <w:b w:val="0"/>
        </w:rPr>
        <w:t>国内地球系统科学数据共享研究强调规范分类和目录建设[17]，Pooch和STAC分别提供科研文件获取与地理空间数据目录描述工具[18,19]。GriddingMachine可在保留现有标签与读取方式的基础上，加强与这些目录和获取工具的衔接，使本地科研程序更便于使用共享数据。持续维护还需要保留数据出处、处理配置与软件版本：软件引用原则、科研软件FAIR原则（FAIR4RS）和数字资源库TRUST原则为相应的记录、引用和资源维护提供参考[20-22]。后续扩展因而可以围绕新增数据源的配置接入、公共镜像登记和更多模式接口适配展开，使数据覆盖与科研复用同步推进。</w:t>
      </w:r>
    </w:p>
    <w:p>
      <w:pPr>
        <w:pStyle w:val="Heading1"/>
      </w:pPr>
      <w:r>
        <w:rPr>
          <w:rFonts w:ascii="Times New Roman" w:hAnsi="Times New Roman" w:eastAsia="Songti SC"/>
          <w:b w:val="0"/>
        </w:rPr>
        <w:t>6 结论</w:t>
      </w:r>
    </w:p>
    <w:p>
      <w:r>
        <w:rPr>
          <w:rFonts w:ascii="Times New Roman" w:hAnsi="Times New Roman" w:eastAsia="Songti SC"/>
          <w:b w:val="0"/>
        </w:rPr>
        <w:t>针对多源网格数据需要分别整理、分发更新与模式调用难以衔接的问题，本文在2022版GriddingMachine基础上完善了数据预处理、分发和读取流程。共享YAML配置组织源数据转换规则，直接NetCDF分发减少外层归档步骤，独立目录维护数据标签、镜像及完整性信息，在统一读取基础上进一步组织陆面参数和气象驱动；同时完善Matlab、Octave、Python和R对新版数据的自动下载支持，并新增C和Fortran下载入口。</w:t>
      </w:r>
    </w:p>
    <w:p>
      <w:r>
        <w:rPr>
          <w:rFonts w:ascii="Times New Roman" w:hAnsi="Times New Roman" w:eastAsia="Songti SC"/>
          <w:b w:val="0"/>
        </w:rPr>
        <w:t>受控实例和真实数据案例表明，新版流程能够保持标准化数据与独立参考的一致性。分发对照显示，直接NetCDF省去外层归档的解包步骤，减少了临时文件占用，缩短了端到端读取时间；FTP—Zenodo镜像获取保持文件内容一致；陆面参数与ERA5逐时数据能够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