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做出优化：增加数据处理标准化流程，改进数据文件分发方式，完善数据目录与模式输入组织，并增加真实异构数据的标准化处理案例，完善数据集的组织与应用。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a real heterogeneous-data standardization case while improving dataset organization and application.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数据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 artifact 机制（构建产物管理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基础上，更新数据预处理、数据分发和数据读取流程，形成数据生产与标准化、数据目录管理与获取、模式输入组织三个相互衔接的环节。数据生产与标准化层以共享 YAML 配置规范表达源维度、坐标、数值变换和缺失值填补（gap filling）及质量控制；数据目录管理与获取层以逻辑标签连接数据副本，并对登记了文件字节数和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总体架构与数据流程</w:t>
      </w:r>
    </w:p>
    <w:p>
      <w:r>
        <w:rPr>
          <w:rFonts w:ascii="Times New Roman" w:hAnsi="Times New Roman" w:eastAsia="Songti SC"/>
        </w:rPr>
        <w:t>GriddingMachine新版由三个相互衔接的数据流程环节构成（图1）：数据生产与标准化层负责把来源、结构和数值约定不同的全球网格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承担。三层共同形成从生产、质控、发布、发现、下载、读取到模式调用的完整数据流程，其中各层通过标准NetCDF和稳定标签衔接，同时保留独立演化的维护边界。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GriddingMachine从2022版基线到新版数据流程的架构更新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文件、包内数据目录和读取函数</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workflow.</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archive files,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files,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流程”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表1概括2022版与新版的主要差异及其在数据流程中的作用。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归档文件</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，支持目录校验和独立更新</w:t>
            </w:r>
          </w:p>
        </w:tc>
        <w:tc>
          <w:tcPr>
            <w:tcW w:type="dxa" w:w="2211"/>
          </w:tcPr>
          <w:p>
            <w:r>
              <w:rPr>
                <w:sz w:val="18"/>
              </w:rPr>
            </w:r>
            <w:r>
              <w:rPr>
                <w:rFonts w:ascii="Times New Roman" w:hAnsi="Times New Roman" w:eastAsia="Songti SC"/>
                <w:sz w:val="18"/>
              </w:rPr>
              <w:t>数据目录可独立于软件版本维护</w:t>
            </w:r>
          </w:p>
        </w:tc>
      </w:tr>
      <w:tr>
        <w:tc>
          <w:tcPr>
            <w:tcW w:type="dxa" w:w="2211"/>
          </w:tcPr>
          <w:p>
            <w:r>
              <w:rPr>
                <w:sz w:val="18"/>
              </w:rPr>
            </w:r>
            <w:r>
              <w:rPr>
                <w:rFonts w:ascii="Times New Roman" w:hAnsi="Times New Roman" w:eastAsia="Songti SC"/>
                <w:sz w:val="18"/>
              </w:rPr>
              <w:t>数据获取</w:t>
            </w:r>
          </w:p>
        </w:tc>
        <w:tc>
          <w:tcPr>
            <w:tcW w:type="dxa" w:w="2211"/>
          </w:tcPr>
          <w:p>
            <w:r>
              <w:rPr>
                <w:sz w:val="18"/>
              </w:rPr>
            </w:r>
            <w:r>
              <w:rPr>
                <w:rFonts w:ascii="Times New Roman" w:hAnsi="Times New Roman" w:eastAsia="Songti SC"/>
                <w:sz w:val="18"/>
              </w:rPr>
              <w:t>artifact 哈希寻址、多个 URL 和解包</w:t>
            </w:r>
          </w:p>
        </w:tc>
        <w:tc>
          <w:tcPr>
            <w:tcW w:type="dxa" w:w="2211"/>
          </w:tcPr>
          <w:p>
            <w:r>
              <w:rPr>
                <w:sz w:val="18"/>
              </w:rPr>
            </w:r>
            <w:r>
              <w:rPr>
                <w:rFonts w:ascii="Times New Roman" w:hAnsi="Times New Roman" w:eastAsia="Songti SC"/>
                <w:sz w:val="18"/>
              </w:rPr>
              <w:t>多镜像回退、临时文件下载和完整性校验</w:t>
            </w:r>
          </w:p>
        </w:tc>
        <w:tc>
          <w:tcPr>
            <w:tcW w:type="dxa" w:w="2211"/>
          </w:tcPr>
          <w:p>
            <w:r>
              <w:rPr>
                <w:sz w:val="18"/>
              </w:rPr>
            </w:r>
            <w:r>
              <w:rPr>
                <w:rFonts w:ascii="Times New Roman" w:hAnsi="Times New Roman" w:eastAsia="Songti SC"/>
                <w:sz w:val="18"/>
              </w:rPr>
              <w:t>提高数据获取的可靠性和可追溯性</w:t>
            </w:r>
          </w:p>
        </w:tc>
      </w:tr>
      <w:tr>
        <w:tc>
          <w:tcPr>
            <w:tcW w:type="dxa" w:w="2211"/>
          </w:tcPr>
          <w:p>
            <w:r>
              <w:rPr>
                <w:sz w:val="18"/>
              </w:rPr>
            </w:r>
            <w:r>
              <w:rPr>
                <w:rFonts w:ascii="Times New Roman" w:hAnsi="Times New Roman" w:eastAsia="Songti SC"/>
                <w:sz w:val="18"/>
              </w:rPr>
              <w:t>数据读取接口</w:t>
            </w:r>
          </w:p>
        </w:tc>
        <w:tc>
          <w:tcPr>
            <w:tcW w:type="dxa" w:w="2211"/>
          </w:tcPr>
          <w:p>
            <w:r>
              <w:rPr>
                <w:sz w:val="18"/>
              </w:rPr>
            </w:r>
            <w:r>
              <w:rPr>
                <w:rFonts w:ascii="Times New Roman" w:hAnsi="Times New Roman" w:eastAsia="Songti SC"/>
                <w:sz w:val="18"/>
              </w:rPr>
              <w:t>以</w:t>
            </w:r>
            <w:r>
              <w:rPr>
                <w:rFonts w:ascii="Consolas" w:hAnsi="Consolas" w:eastAsia="Songti SC"/>
                <w:sz w:val="18"/>
              </w:rPr>
              <w:t>read_LUT</w:t>
            </w:r>
            <w:r>
              <w:rPr>
                <w:rFonts w:ascii="Times New Roman" w:hAnsi="Times New Roman" w:eastAsia="Songti SC"/>
                <w:sz w:val="18"/>
              </w:rPr>
              <w:t>读取已登记数据</w:t>
            </w:r>
          </w:p>
        </w:tc>
        <w:tc>
          <w:tcPr>
            <w:tcW w:type="dxa" w:w="2211"/>
          </w:tcPr>
          <w:p>
            <w:r>
              <w:rPr>
                <w:sz w:val="18"/>
              </w:rPr>
            </w:r>
            <w:r>
              <w:rPr>
                <w:rFonts w:ascii="Times New Roman" w:hAnsi="Times New Roman" w:eastAsia="Songti SC"/>
                <w:sz w:val="18"/>
              </w:rPr>
              <w:t>以</w:t>
            </w:r>
            <w:r>
              <w:rPr>
                <w:rFonts w:ascii="Consolas" w:hAnsi="Consolas" w:eastAsia="Songti SC"/>
                <w:sz w:val="18"/>
              </w:rPr>
              <w:t>read_dataset</w:t>
            </w:r>
            <w:r>
              <w:rPr>
                <w:rFonts w:ascii="Times New Roman" w:hAnsi="Times New Roman" w:eastAsia="Songti SC"/>
                <w:sz w:val="18"/>
              </w:rPr>
              <w:t>统一提供全域网格、周期切片和指定格点读取，并保留</w:t>
            </w:r>
            <w:r>
              <w:rPr>
                <w:rFonts w:ascii="Consolas" w:hAnsi="Consolas" w:eastAsia="Songti SC"/>
                <w:sz w:val="18"/>
              </w:rPr>
              <w:t>read_LUT</w:t>
            </w:r>
            <w:r>
              <w:rPr>
                <w:rFonts w:ascii="Times New Roman" w:hAnsi="Times New Roman" w:eastAsia="Songti SC"/>
                <w:sz w:val="18"/>
              </w:rPr>
              <w:t>作为兼容调用名称</w:t>
            </w:r>
          </w:p>
        </w:tc>
        <w:tc>
          <w:tcPr>
            <w:tcW w:type="dxa" w:w="2211"/>
          </w:tcPr>
          <w:p>
            <w:r>
              <w:rPr>
                <w:sz w:val="18"/>
              </w:rPr>
            </w:r>
            <w:r>
              <w:rPr>
                <w:rFonts w:ascii="Times New Roman" w:hAnsi="Times New Roman" w:eastAsia="Songti SC"/>
                <w:sz w:val="18"/>
              </w:rPr>
              <w:t>统一数据发现、读取和模式输入组织，降低旧接口迁移成本</w:t>
            </w:r>
          </w:p>
        </w:tc>
      </w:tr>
      <w:tr>
        <w:tc>
          <w:tcPr>
            <w:tcW w:type="dxa" w:w="2211"/>
          </w:tcPr>
          <w:p>
            <w:r>
              <w:rPr>
                <w:sz w:val="18"/>
              </w:rPr>
            </w:r>
            <w:r>
              <w:rPr>
                <w:rFonts w:ascii="Times New Roman" w:hAnsi="Times New Roman" w:eastAsia="Songti SC"/>
                <w:sz w:val="18"/>
              </w:rPr>
              <w:t>多语言访问</w:t>
            </w:r>
          </w:p>
        </w:tc>
        <w:tc>
          <w:tcPr>
            <w:tcW w:type="dxa" w:w="2211"/>
          </w:tcPr>
          <w:p>
            <w:r>
              <w:rPr>
                <w:sz w:val="18"/>
              </w:rPr>
            </w:r>
            <w:r>
              <w:rPr>
                <w:rFonts w:ascii="Times New Roman" w:hAnsi="Times New Roman" w:eastAsia="Songti SC"/>
                <w:sz w:val="18"/>
              </w:rPr>
              <w:t>提供Julia、Matlab、Octave、Python和R接口</w:t>
            </w:r>
          </w:p>
        </w:tc>
        <w:tc>
          <w:tcPr>
            <w:tcW w:type="dxa" w:w="2211"/>
          </w:tcPr>
          <w:p>
            <w:r>
              <w:rPr>
                <w:sz w:val="18"/>
              </w:rPr>
            </w:r>
            <w:r>
              <w:rPr>
                <w:rFonts w:ascii="Times New Roman" w:hAnsi="Times New Roman" w:eastAsia="Songti SC"/>
                <w:sz w:val="18"/>
              </w:rPr>
              <w:t>在保留原有接口的基础上完善Matlab、Octave、Python和R自动下载，并新增C和Fortran自动下载入口</w:t>
            </w:r>
          </w:p>
        </w:tc>
        <w:tc>
          <w:tcPr>
            <w:tcW w:type="dxa" w:w="2211"/>
          </w:tcPr>
          <w:p>
            <w:r>
              <w:rPr>
                <w:sz w:val="18"/>
              </w:rPr>
            </w:r>
            <w:r>
              <w:rPr>
                <w:rFonts w:ascii="Times New Roman" w:hAnsi="Times New Roman" w:eastAsia="Songti SC"/>
                <w:sz w:val="18"/>
              </w:rPr>
              <w:t>扩展科研人员获取新版网格数据的编程环境</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changes, and their implications for scientific data use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缺失值填补与范围</w:t>
            </w:r>
          </w:p>
        </w:tc>
        <w:tc>
          <w:tcPr>
            <w:tcW w:type="dxa" w:w="2948"/>
          </w:tcPr>
          <w:p>
            <w:r>
              <w:rPr>
                <w:sz w:val="18"/>
              </w:rPr>
            </w:r>
            <w:r>
              <w:rPr>
                <w:rFonts w:ascii="Times New Roman" w:hAnsi="Times New Roman" w:eastAsia="Songti SC"/>
                <w:sz w:val="18"/>
              </w:rPr>
              <w:t>有效范围、填充值和缺失值填补策略由YAML显式声明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YAML声明维度、坐标、数值与缺失值填补规则；NetCDF属性写入逐项变更记录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缺失值填补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YAML将数据源差异与通用处理代码分离。配置字段分别描述输入文件、源变量、维度语义、缺失值处理、版本和质量检查要求，共同构成可执行的数据生产配置。配置以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框架同时提供程序化和本地交互式配置生成方式。二者输出均经同一配置规范校验后，由核心生产函数</w:t>
      </w:r>
      <w:r>
        <w:rPr>
          <w:rFonts w:ascii="Consolas" w:hAnsi="Consolas" w:eastAsia="Songti SC"/>
        </w:rPr>
        <w:t>process_dataset!</w:t>
      </w:r>
      <w:r>
        <w:rPr>
          <w:rFonts w:ascii="Times New Roman" w:hAnsi="Times New Roman" w:eastAsia="Songti SC"/>
        </w:rPr>
        <w:t>执行标准化处理，使数据贡献入口与生产流水线共享一致的字段语义。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生产流程在保存前检查维度、坐标、变量、数值范围和缺失值填补结果，空间方向图进一步呈现坐标语义。质量控制完成后生成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超文本传输协议（HTTP/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。对已有目录条目，系统保留兼容访问方式；对登记完整性信息的新条目，则执行严格校验和事务式落盘。目录规范和获取逻辑对多URL与完整性字段采用统一表达。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标准网格数据读取接口支持以本地NetCDF路径或数据标签访问数据，并提供全域网格数组、指定周期切片、站点全部周期和站点指定周期4种读取方式。标签对应的NetCDF可由目录模块自动获取；默认返回标准变量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缺失值填补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 xml:space="preserve">植物功能型比例进一步用于融合 C3 和 C4 植物的叶片光学参数与 Medlyn 气孔导度模型参数，并由 25 ℃下最大羧化速率 </w:t>
      </w:r>
      <w:r>
        <w:rPr>
          <w:rFonts w:ascii="Consolas" w:hAnsi="Consolas" w:eastAsia="Songti SC"/>
        </w:rPr>
        <w:t>VCMAX25</w:t>
      </w:r>
      <w:r>
        <w:rPr>
          <w:rFonts w:ascii="Times New Roman" w:hAnsi="Times New Roman" w:eastAsia="Songti SC"/>
        </w:rPr>
        <w:t xml:space="preserve"> 推导最大电子传递速率 </w:t>
      </w:r>
      <w:r>
        <w:rPr>
          <w:rFonts w:ascii="Consolas" w:hAnsi="Consolas" w:eastAsia="Songti SC"/>
        </w:rPr>
        <w:t>JMAX25</w:t>
      </w:r>
      <w:r>
        <w:rPr>
          <w:rFonts w:ascii="Times New Roman" w:hAnsi="Times New Roman" w:eastAsia="Songti SC"/>
        </w:rPr>
        <w:t xml:space="preserve"> 和细胞色素 b6f 复合体参数 </w:t>
      </w:r>
      <w:r>
        <w:rPr>
          <w:rFonts w:ascii="Consolas" w:hAnsi="Consolas" w:eastAsia="Songti SC"/>
        </w:rPr>
        <w:t>B6F</w:t>
      </w:r>
      <w:r>
        <w:rPr>
          <w:rFonts w:ascii="Times New Roman" w:hAnsi="Times New Roman" w:eastAsia="Songti SC"/>
        </w:rPr>
        <w:t xml:space="preserve">。输出涵盖位置、分辨率、年份、二氧化碳（CO₂）、土壤水力性质、冠层结构、植物功能型组成、叶片生物物理和光合参数；字段完整性与缺失值标记 </w:t>
      </w:r>
      <w:r>
        <w:rPr>
          <w:rFonts w:ascii="Consolas" w:hAnsi="Consolas" w:eastAsia="Songti SC"/>
        </w:rPr>
        <w:t>NaN</w:t>
      </w:r>
      <w:r>
        <w:rPr>
          <w:rFonts w:ascii="Times New Roman" w:hAnsi="Times New Roman" w:eastAsia="Songti SC"/>
        </w:rPr>
        <w:t xml:space="preserve"> 状态同步进入质量控制。多个标准化数据由此形成结构一致的格点级模式输入。本文关注数据组织和接口衔接，不对Emerald的模式性能或科学模拟结果作独立评价。</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中的8类第五代全球再分析数据（ERA5）[6]，分别提取地表气压、降水、漫射与直射短波辐射、长波辐射、气温、水汽压亏缺和风速，并依据格点经度换算时区偏移、构建浮点年积日（fractional day of year，</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全域网格、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Zenodo公共网络记录；中国科学技术大学（以下简称中科大）校内网 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经度平移、线性缩放、范围过滤、缺失值填补、</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围绕维度、坐标、数值、缺失值填补、配置、输出和空间方向7个方面组织31组处理实例，并进一步检查变量、形状、属性、数值范围和缺失值状态。各组以结构、逐点数值或数据集状态表征标准化结果；输出数组与位置编码参照逐点对应，Float32转换采用统一的绝对和相对容差，质量报告同步保存误差、处理历史和重复生产一致性。完整分类矩阵见补充材料S4。</w:t>
      </w:r>
    </w:p>
    <w:p>
      <w:r>
        <w:rPr>
          <w:rFonts w:ascii="Times New Roman" w:hAnsi="Times New Roman" w:eastAsia="Songti SC"/>
        </w:rPr>
        <w:t>29组非交互处理实例在Windows、macOS和Linux持续集成环境中采用相同判据运行；空间方向测试 V01（方向正确）和 V02（南北反转）分别设置相应预期。自动结构与数值检查和人工空间审核共同评价生产契约在数组变换、配置解析和空间方向控制方面的跨系统一致性。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 xml:space="preserve"> 和 </w:t>
      </w:r>
      <w:r>
        <w:rPr>
          <w:rFonts w:ascii="Consolas" w:hAnsi="Consolas" w:eastAsia="Songti SC"/>
        </w:rPr>
        <w:t>_FillValue</w:t>
      </w:r>
      <w:r>
        <w:rPr>
          <w:rFonts w:ascii="Times New Roman" w:hAnsi="Times New Roman" w:eastAsia="Songti SC"/>
        </w:rPr>
        <w:t xml:space="preserve"> 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全域网格逐点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数据目录管理流程涵盖首次建立、版本更新、目录同步、数据集获取、状态查询和历史数据整理。代表性目录包含不同版本的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场景刻画Zenodo镜像获取特征；中科大校内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缺失值填补、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m；GriddingMachine全域网格读取与NetCDF底层Float32数组逐点一致。使用显式标准维度、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全域网格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628433"/>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28433"/>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公共网络场景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中科大校内网双镜像实验是另一组独立记录：4个数据集分别从FTP和Zenodo重复获取3次，两类镜像各形成12次下载，共24次结果，均达到登记字节数并通过SHA-256核验。在本组中科大校内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中科大校内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s首步计算。这些结果说明本文数据组织方法能够与既定模式接口衔接。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表明，新版流程能够保持标准化数据与独立参考的一致性，改善直接NetCDF文件的分发效率，支持FTP—Zenodo镜像内容核验，并将陆面参数和ERA5逐时数据组织为US-NR1模式输入，完成Emerald初始化和60 s首步计算。具体数值结果见第4节。</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