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原则[1]。NetCDF适合组织多维科学数据及其坐标信息[5]，CF元数据约定进一步规范变量、坐标和时空属性[2]。Google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data workflow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构建产物哈希寻址、多个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workflow.</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YAML文件明确记录维度、坐标、数值转换和缺失值填补规则；处理完成后，输出NetCDF文件的属性中同步保存实际执行的变更记录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新登记的条目或纳入严格完整性管理的条目记录文件字节数和SHA-256；同一标签的受控镜像指向相同内容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域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中科大校内网机构 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目录审计时共登记1179个数据条目，均配置机构FTP地址，部分条目另有Zenodo镜像；本文的模式输入案例使用14类陆面数据和8类ERA5数据，实验覆盖框架关键路径和代表性数据集，不将这些案例等同于全目录数据集的逐项验证。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流程。共享YAML配置统一描述源数据转换规则，数据目录集中记录标签、镜像和完整性信息，统一读取接口将标准化数据组织为陆面参数和气象驱动；同时，完善Matlab、Octave、Python和R对新版数据的自动下载支持，并新增C和Fortran下载入口，扩展了不同科研编程环境下的数据获取方式。</w:t>
      </w:r>
    </w:p>
    <w:p>
      <w:r>
        <w:rPr>
          <w:rFonts w:ascii="Times New Roman" w:hAnsi="Times New Roman" w:eastAsia="Songti SC"/>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rPr>
        <w:t>更新后的GriddingMachine将多源数据处理、标准文件分发和模式输入组织连接为统一的科研数据流程，减少不同地球系统模式重复整理和维护数据的工作，为全球网格数据的持续维护和模式研究提供数据基础。后续工作将继续扩展数据覆盖范围、完善镜像维护机制，并适配更多模式接口。</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；该客户端提交作为新增下载入口单独记录，既有主体实验仍按冻结版本固定。研究材料的内容冻结提交、冻结分支及不可变稿件标签由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precipitation/fluxes)[EB/OL]. [2026-09-25]. https://confluence.ecmwf.int/pages/viewpage.action?pageId=197702790.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