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配置规范表达源维度、坐标、数值变换和缺失值填补（Gapfill）以及质量控制；数据目录与获取层以逻辑标签连接数据副本，并对登记了文件字节数和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；配置规范校验、事务更新和版本备份</w:t>
            </w:r>
          </w:p>
        </w:tc>
        <w:tc>
          <w:tcPr>
            <w:tcW w:type="dxa" w:w="2211"/>
          </w:tcPr>
          <w:p>
            <w:r>
              <w:rPr>
                <w:sz w:val="18"/>
              </w:rPr>
            </w:r>
            <w:r>
              <w:rPr>
                <w:rFonts w:ascii="Times New Roman" w:hAnsi="Times New Roman" w:eastAsia="Songti SC"/>
                <w:sz w:val="18"/>
              </w:rPr>
              <w:t>数据集可独立于软件版本持续扩展</w:t>
            </w:r>
          </w:p>
        </w:tc>
      </w:tr>
      <w:tr>
        <w:tc>
          <w:tcPr>
            <w:tcW w:type="dxa" w:w="2211"/>
          </w:tcPr>
          <w:p>
            <w:r>
              <w:rPr>
                <w:sz w:val="18"/>
              </w:rPr>
            </w:r>
            <w:r>
              <w:rPr>
                <w:rFonts w:ascii="Times New Roman" w:hAnsi="Times New Roman" w:eastAsia="Songti SC"/>
                <w:sz w:val="18"/>
              </w:rPr>
              <w:t>下载</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延迟信号辅助排序；多URL回退、独立临时文件；带</w:t>
            </w:r>
            <w:r>
              <w:rPr>
                <w:rFonts w:ascii="Consolas" w:hAnsi="Consolas" w:eastAsia="Songti SC"/>
                <w:sz w:val="18"/>
              </w:rPr>
              <w:t>SIZE</w:t>
            </w:r>
            <w:r>
              <w:rPr>
                <w:rFonts w:ascii="Times New Roman" w:hAnsi="Times New Roman" w:eastAsia="Songti SC"/>
                <w:sz w:val="18"/>
              </w:rPr>
              <w:t>/</w:t>
            </w:r>
            <w:r>
              <w:rPr>
                <w:rFonts w:ascii="Consolas" w:hAnsi="Consolas" w:eastAsia="Songti SC"/>
                <w:sz w:val="18"/>
              </w:rPr>
              <w:t>SHA256</w:t>
            </w:r>
            <w:r>
              <w:rPr>
                <w:rFonts w:ascii="Times New Roman" w:hAnsi="Times New Roman" w:eastAsia="Songti SC"/>
                <w:sz w:val="18"/>
              </w:rPr>
              <w:t>条目可执行严格核验后落盘</w:t>
            </w:r>
          </w:p>
        </w:tc>
        <w:tc>
          <w:tcPr>
            <w:tcW w:type="dxa" w:w="2211"/>
          </w:tcPr>
          <w:p>
            <w:r>
              <w:rPr>
                <w:sz w:val="18"/>
              </w:rPr>
            </w:r>
            <w:r>
              <w:rPr>
                <w:rFonts w:ascii="Times New Roman" w:hAnsi="Times New Roman" w:eastAsia="Songti SC"/>
                <w:sz w:val="18"/>
              </w:rPr>
              <w:t>将镜像选择与内容完整性判定分离，支持历史目录平滑迁移</w:t>
            </w:r>
          </w:p>
        </w:tc>
      </w:tr>
      <w:tr>
        <w:tc>
          <w:tcPr>
            <w:tcW w:type="dxa" w:w="2211"/>
          </w:tcPr>
          <w:p>
            <w:r>
              <w:rPr>
                <w:sz w:val="18"/>
              </w:rPr>
            </w:r>
            <w:r>
              <w:rPr>
                <w:rFonts w:ascii="Times New Roman" w:hAnsi="Times New Roman" w:eastAsia="Songti SC"/>
                <w:sz w:val="18"/>
              </w:rPr>
              <w:t>读取</w:t>
            </w:r>
          </w:p>
        </w:tc>
        <w:tc>
          <w:tcPr>
            <w:tcW w:type="dxa" w:w="2211"/>
          </w:tcPr>
          <w:p>
            <w:r>
              <w:rPr>
                <w:sz w:val="18"/>
              </w:rPr>
            </w:r>
            <w:r>
              <w:rPr>
                <w:rFonts w:ascii="Consolas" w:hAnsi="Consolas" w:eastAsia="Songti SC"/>
                <w:sz w:val="18"/>
              </w:rPr>
              <w:t>read_LUT</w:t>
            </w:r>
          </w:p>
        </w:tc>
        <w:tc>
          <w:tcPr>
            <w:tcW w:type="dxa" w:w="2211"/>
          </w:tcPr>
          <w:p>
            <w:r>
              <w:rPr>
                <w:sz w:val="18"/>
              </w:rPr>
            </w:r>
            <w:r>
              <w:rPr>
                <w:rFonts w:ascii="Consolas" w:hAnsi="Consolas" w:eastAsia="Songti SC"/>
                <w:sz w:val="18"/>
              </w:rPr>
              <w:t>read_dataset</w:t>
            </w:r>
            <w:r>
              <w:rPr>
                <w:rFonts w:ascii="Times New Roman" w:hAnsi="Times New Roman" w:eastAsia="Songti SC"/>
                <w:sz w:val="18"/>
              </w:rPr>
              <w:t>，旧名称保留为别名</w:t>
            </w:r>
          </w:p>
        </w:tc>
        <w:tc>
          <w:tcPr>
            <w:tcW w:type="dxa" w:w="2211"/>
          </w:tcPr>
          <w:p>
            <w:r>
              <w:rPr>
                <w:sz w:val="18"/>
              </w:rPr>
            </w:r>
            <w:r>
              <w:rPr>
                <w:rFonts w:ascii="Times New Roman" w:hAnsi="Times New Roman" w:eastAsia="Songti SC"/>
                <w:sz w:val="18"/>
              </w:rPr>
              <w:t>全球规则经纬网整场、周期和站点读取</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product.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products using direct NetCDF and external `tar.gz` archives.</w:t>
      </w:r>
      <w:r>
        <w:rPr>
          <w:rFonts w:ascii="Times New Roman" w:hAnsi="Times New Roman" w:eastAsia="Songti SC"/>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