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多镜像分发、统一读取和模型调用的数据生命周期框架。新版以共享配置规范（schema）和YAML驱动源维度映射、坐标转换、数值变换与缺失值填补（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提供模型就绪数据。NOAA OISST V2.1产品由四维源结构转换为1440×720标准网格，691 150个有效格点与独立参考逐点一致；两个内部压缩产品采用直接NetCDF后，缓存预热的端到端中位时间在两个独立运行环境中分别降低48.3%～82.9%和53.6%～69.2%；校园网内4个代表性产品经FTP和Zenodo完成24次下载，文件大小与SHA-256均与目录登记值一致；14类陆面产品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verified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A NOAA OISST V2.1 product was transformed from a four-dimensional source structure to a standardized 1440 × 720 grid, with 691,150 finite cells matching an independently decoded reference point by point. Direct NetCDF reduced median warm-cache end-to-end time for two internally compressed products by 48.3%–82.9% and 53.6%–69.2% in two independent runtime environments. Four representative products were downloaded 24 times from FTP and Zenodo on the campus network, with file sizes and SHA-256 digests matching their catalog records. Fourteen land products generated a parameter dictionary for US-NR1 and entered Emerald model initialization.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本研究将GriddingMachine由标准数据集合与标签化访问工具扩展为面向全球规则网格数据的可执行生命周期框架。其核心推进体现在三个相互衔接的层面：生产端以共享YAML契约统一表达源维度、坐标、数值变换、Gapfill和质量控制，形成可复用的标准NetCDF生产流程；分发端以独立目录连接机构FTP、Zenodo及其他社区镜像，并通过直接NetCDF、事务式缓存和</w:t>
      </w:r>
      <w:r>
        <w:rPr>
          <w:rFonts w:ascii="Consolas" w:hAnsi="Consolas" w:eastAsia="等线"/>
        </w:rPr>
        <w:t>SIZE/SHA256</w:t>
      </w:r>
      <w:r>
        <w:rPr>
          <w:rFonts w:ascii="Times New Roman" w:hAnsi="Times New Roman" w:eastAsia="宋体"/>
        </w:rPr>
        <w:t>构建内容一致的可信分发链；应用端以统一读取和模型输入组织连接标准数据产品与Emerald。</w:t>
      </w:r>
    </w:p>
    <w:p>
      <w:r>
        <w:rPr>
          <w:rFonts w:ascii="Times New Roman" w:hAnsi="Times New Roman" w:eastAsia="宋体"/>
        </w:rPr>
        <w:t>本文通过OISST产品转换、ELEV/LAI分发效率、FTP—Zenodo镜像访问和</w:t>
      </w:r>
      <w:r>
        <w:rPr>
          <w:rFonts w:ascii="Consolas" w:hAnsi="Consolas" w:eastAsia="等线"/>
        </w:rPr>
        <w:t>gm2</w:t>
      </w:r>
      <w:r>
        <w:rPr>
          <w:rFonts w:ascii="Times New Roman" w:hAnsi="Times New Roman" w:eastAsia="宋体"/>
        </w:rPr>
        <w:t>陆面参数应用，分别呈现该框架的标准化正确性、数据获取效率、内容完整性和模型适配能力。</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75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显式设置数据根目录与目录来源。目录下载经临时文件完成schema校验和事务式替换，并保留上一有效版本。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，历史目录则通过兼容模式继续提供数据获取能力。</w:t>
      </w:r>
    </w:p>
    <w:p>
      <w:r>
        <w:rPr>
          <w:rFonts w:ascii="Times New Roman" w:hAnsi="Times New Roman" w:eastAsia="宋体"/>
        </w:rPr>
        <w:t>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w:t>
      </w:r>
      <w:r>
        <w:rPr>
          <w:rFonts w:ascii="Consolas" w:hAnsi="Consolas" w:eastAsia="等线"/>
        </w:rPr>
        <w:t>gm2</w:t>
      </w:r>
      <w:r>
        <w:rPr>
          <w:rFonts w:ascii="Times New Roman" w:hAnsi="Times New Roman" w:eastAsia="宋体"/>
        </w:rPr>
        <w:t>产品贯通陆面参数链路并进入Emerald初始化，使可信分发的数据产品直接进入模型应用。</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陆面产品进入Emerald参数组织与模型初始化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，字段信息在源数据读取前完成解析。框1和版本化指南共同构成面向贡献者的配置范式。</w:t>
      </w:r>
    </w:p>
    <w:p>
      <w:pPr>
        <w:pStyle w:val="Heading3"/>
      </w:pPr>
      <w:r>
        <w:rPr>
          <w:rFonts w:ascii="Times New Roman" w:hAnsi="Times New Roman" w:eastAsia="宋体"/>
        </w:rPr>
        <w:t>2.2.3 生产流程与质量控制</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产品发布与独立数据目录</w:t>
      </w:r>
    </w:p>
    <w:p>
      <w:pPr>
        <w:pStyle w:val="Heading3"/>
      </w:pPr>
      <w:r>
        <w:rPr>
          <w:rFonts w:ascii="Times New Roman" w:hAnsi="Times New Roman" w:eastAsia="宋体"/>
        </w:rPr>
        <w:t>2.3.1 标签生成与目录登记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2.3.2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多镜像可信分发</w:t>
      </w:r>
    </w:p>
    <w:p>
      <w:pPr>
        <w:pStyle w:val="Heading3"/>
      </w:pPr>
      <w:r>
        <w:rPr>
          <w:rFonts w:ascii="Times New Roman" w:hAnsi="Times New Roman" w:eastAsia="宋体"/>
        </w:rPr>
        <w:t>2.4.1 目录初始化与更新</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2.4.2 镜像选择与事务式缓存</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URL提取主机名，以可获得的平均往返延迟生成候选顺序；其余地址按目录顺序保留，全部URL共同组成完整回退队列。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文件。程序核对文件生成状态、字节数和SHA-256；校验通过后以原子移动进入正式路径，各次尝试的临时内容随当前状态独立回收。</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核验共同确定数据产品的一致性。本文进一步在中科大校园网对同一文件分别执行FTP和Zenodo只读下载，以实际传输表现和SHA-256一致性共同评价镜像获取效果。</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r>
        <w:rPr>
          <w:rFonts w:ascii="Times New Roman" w:hAnsi="Times New Roman" w:eastAsia="宋体"/>
        </w:rPr>
        <w:t>Collector还提供全库同步、历史数据整理、目录树及数据集状态查询等维护接口。相关命令、参数和状态恢复方式集中列入补充材料与版本化用户指南，正文保留目录更新、镜像获取和内容完整性保障的核心机制。</w:t>
      </w:r>
    </w:p>
    <w:p>
      <w:pPr>
        <w:pStyle w:val="Heading2"/>
      </w:pPr>
      <w:r>
        <w:rPr>
          <w:rFonts w:ascii="Times New Roman" w:hAnsi="Times New Roman" w:eastAsia="宋体"/>
        </w:rPr>
        <w:t>2.5 统一读取与模型就绪接口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2.5.2 模型参数与气象驱动组织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标签完成模型就绪字段组织。确定性气象参考数据用于核对字段、形状和Emerald最小步进，</w:t>
      </w:r>
      <w:r>
        <w:rPr>
          <w:rFonts w:ascii="Consolas" w:hAnsi="Consolas" w:eastAsia="等线"/>
        </w:rPr>
        <w:t>gm2</w:t>
      </w:r>
      <w:r>
        <w:rPr>
          <w:rFonts w:ascii="Times New Roman" w:hAnsi="Times New Roman" w:eastAsia="宋体"/>
        </w:rPr>
        <w:t>文件则贯通陆面参数链路。</w:t>
      </w:r>
    </w:p>
    <w:p>
      <w:pPr>
        <w:pStyle w:val="Heading2"/>
      </w:pPr>
      <w:r>
        <w:rPr>
          <w:rFonts w:ascii="Times New Roman" w:hAnsi="Times New Roman" w:eastAsia="宋体"/>
        </w:rPr>
        <w:t>2.6 端到端调用路径</w:t>
      </w:r>
    </w:p>
    <w:p>
      <w:r>
        <w:rPr>
          <w:rFonts w:ascii="Times New Roman" w:hAnsi="Times New Roman" w:eastAsia="宋体"/>
        </w:rPr>
        <w:t>与2022版通过标签组织数据访问的思路一致[4]，新版将目录配置、目录更新、完整性下载、统一读取和模型参数组织连接为稳定的公共调用路径。用户依次调用</w:t>
      </w:r>
      <w:r>
        <w:rPr>
          <w:rFonts w:ascii="Consolas" w:hAnsi="Consolas" w:eastAsia="等线"/>
        </w:rPr>
        <w:t>configure!</w:t>
      </w:r>
      <w:r>
        <w:rPr>
          <w:rFonts w:ascii="Times New Roman" w:hAnsi="Times New Roman" w:eastAsia="宋体"/>
        </w:rPr>
        <w:t>、</w:t>
      </w:r>
      <w:r>
        <w:rPr>
          <w:rFonts w:ascii="Consolas" w:hAnsi="Consolas" w:eastAsia="等线"/>
        </w:rPr>
        <w:t>update_database!</w:t>
      </w:r>
      <w:r>
        <w:rPr>
          <w:rFonts w:ascii="Times New Roman" w:hAnsi="Times New Roman" w:eastAsia="宋体"/>
        </w:rPr>
        <w:t>和</w:t>
      </w:r>
      <w:r>
        <w:rPr>
          <w:rFonts w:ascii="Consolas" w:hAnsi="Consolas" w:eastAsia="等线"/>
        </w:rPr>
        <w:t>download_dataset!</w:t>
      </w:r>
      <w:r>
        <w:rPr>
          <w:rFonts w:ascii="Times New Roman" w:hAnsi="Times New Roman" w:eastAsia="宋体"/>
        </w:rPr>
        <w:t>获得经过</w:t>
      </w:r>
      <w:r>
        <w:rPr>
          <w:rFonts w:ascii="Consolas" w:hAnsi="Consolas" w:eastAsia="等线"/>
        </w:rPr>
        <w:t>SIZE/SHA256</w:t>
      </w:r>
      <w:r>
        <w:rPr>
          <w:rFonts w:ascii="Times New Roman" w:hAnsi="Times New Roman" w:eastAsia="宋体"/>
        </w:rPr>
        <w:t>核验的标准产品，再通过</w:t>
      </w:r>
      <w:r>
        <w:rPr>
          <w:rFonts w:ascii="Consolas" w:hAnsi="Consolas" w:eastAsia="等线"/>
        </w:rPr>
        <w:t>read_dataset</w:t>
      </w:r>
      <w:r>
        <w:rPr>
          <w:rFonts w:ascii="Times New Roman" w:hAnsi="Times New Roman" w:eastAsia="宋体"/>
        </w:rPr>
        <w:t>读取整场或格点数据，并由</w:t>
      </w:r>
      <w:r>
        <w:rPr>
          <w:rFonts w:ascii="Consolas" w:hAnsi="Consolas" w:eastAsia="等线"/>
        </w:rPr>
        <w:t>grid_dict</w:t>
      </w:r>
      <w:r>
        <w:rPr>
          <w:rFonts w:ascii="Times New Roman" w:hAnsi="Times New Roman" w:eastAsia="宋体"/>
        </w:rPr>
        <w:t>或</w:t>
      </w:r>
      <w:r>
        <w:rPr>
          <w:rFonts w:ascii="Consolas" w:hAnsi="Consolas" w:eastAsia="等线"/>
        </w:rPr>
        <w:t>grid_weather</w:t>
      </w:r>
      <w:r>
        <w:rPr>
          <w:rFonts w:ascii="Times New Roman" w:hAnsi="Times New Roman" w:eastAsia="宋体"/>
        </w:rPr>
        <w:t>形成模型输入。完整Julia示例、配置字段字典、目录登记及状态恢复命令集中列入补充材料与版本化用户指南，正文突出工作流结构及其科学应用方式。</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表3从维度（D）、坐标（C）、数值（N）、Gapfill（G）、YAML配置（Y）、输出（O）和空间方向检查（V）7个方面组织31组代表性处理实例。各组对应共享生产契约中的一个关键环节，并以结构、数值或产品状态表征标准化结果。</w:t>
      </w:r>
    </w:p>
    <w:p>
      <w:pPr>
        <w:ind w:firstLine="0"/>
      </w:pPr>
      <w:r>
        <w:rPr>
          <w:rFonts w:ascii="Times New Roman" w:hAnsi="Times New Roman" w:eastAsia="宋体"/>
          <w:b/>
        </w:rPr>
        <w:t>表3 GriddingMachineDatasets标准产品生产能力与质量控制</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实例数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Standardized-product production capabilities and quality control in GriddingMachineDatasets.</w:t>
      </w:r>
      <w:r>
        <w:rPr>
          <w:rFonts w:ascii="Times New Roman" w:hAnsi="Times New Roman" w:eastAsia="宋体"/>
        </w:rPr>
        <w:t xml:space="preserve"> The representative cases cover dimensions, coordinates, numerical transformations, gap filling, YAML configuration, product output, and spatial-orientation inspection.</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标准产品生产流程在各操作系统环境中保持一致行为。29组自动处理实例连续完成，正向图和南北反转图得到准确区分，体现了共享生产契约在数组变换、配置解析和空间方向控制方面的一致性。</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。数据贡献案例进一步贯通配置生成、标准化、自动与人工质量检查、产品发布、</w:t>
      </w:r>
      <w:r>
        <w:rPr>
          <w:rFonts w:ascii="Consolas" w:hAnsi="Consolas" w:eastAsia="等线"/>
        </w:rPr>
        <w:t>Artifacts.yaml</w:t>
      </w:r>
      <w:r>
        <w:rPr>
          <w:rFonts w:ascii="Times New Roman" w:hAnsi="Times New Roman" w:eastAsia="宋体"/>
        </w:rPr>
        <w:t>登记以及下游更新、下载和读取，形成面向数据贡献者的完整生产入口。</w:t>
      </w:r>
    </w:p>
    <w:p>
      <w:r>
        <w:rPr>
          <w:rFonts w:ascii="Times New Roman" w:hAnsi="Times New Roman" w:eastAsia="宋体"/>
        </w:rPr>
        <w:t>OISST真实产品用于进一步呈现共享生产契约对异构源结构的适配能力。案例采用NOAA/NCEI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构造物理值与缺失值掩膜，并独立计算目标经度索引。参考结果记录全场统计量、10个确定性有效格点和10个缺失格点。标准产品连续生成3次，逐点比较坐标、有效值掩膜和物理值；随后由本地权威文件生成包含</w:t>
      </w:r>
      <w:r>
        <w:rPr>
          <w:rFonts w:ascii="Consolas" w:hAnsi="Consolas" w:eastAsia="等线"/>
        </w:rPr>
        <w:t>PATH/URL/SIZE/SHA256</w:t>
      </w:r>
      <w:r>
        <w:rPr>
          <w:rFonts w:ascii="Times New Roman" w:hAnsi="Times New Roman" w:eastAsia="宋体"/>
        </w:rPr>
        <w:t>的目录条目，通过回环HTTP执行事务式下载，并以</w:t>
      </w:r>
      <w:r>
        <w:rPr>
          <w:rFonts w:ascii="Consolas" w:hAnsi="Consolas" w:eastAsia="等线"/>
        </w:rPr>
        <w:t>read_dataset</w:t>
      </w:r>
      <w:r>
        <w:rPr>
          <w:rFonts w:ascii="Times New Roman" w:hAnsi="Times New Roman" w:eastAsia="宋体"/>
        </w:rPr>
        <w:t>完成整场读取核对。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多镜像可靠性与真实镜像访问</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r>
        <w:rPr>
          <w:rFonts w:ascii="Times New Roman" w:hAnsi="Times New Roman" w:eastAsia="宋体"/>
        </w:rPr>
        <w:t>多镜像可靠性分析在两个独立环境中构建内容一致、访问状态可配置的镜像集合，通过延迟分数组织候选顺序，并组合响应延迟、访问中断、内容差异和传输完整性等条件。各类镜像状态重复5次，记录候选选择、镜像遍历、正式文件状态及SHA-256，据此刻画事务式获取在镜像切换过程中的稳定性。校园网FTP与Zenodo访问进一步呈现机构镜像和公共镜像的互补分发特征与内容一致性。</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与Emerald初始化。确定性参考数据用于核对字段名、形状、类型、时间索引和NaN处理；陆面案例采用2020年</w:t>
      </w:r>
      <w:r>
        <w:rPr>
          <w:rFonts w:ascii="Consolas" w:hAnsi="Consolas" w:eastAsia="等线"/>
        </w:rPr>
        <w:t>gm2</w:t>
      </w:r>
      <w:r>
        <w:rPr>
          <w:rFonts w:ascii="Times New Roman" w:hAnsi="Times New Roman" w:eastAsia="宋体"/>
        </w:rPr>
        <w:t>产品，在US-NR1附近植被格点和典型非植被格点呈现不同陆面状态下的模型入口。</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多操作系统环境运行与持续集成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持续集成使用确定性NetCDF参考数据维护代码路径、文件状态和内容完整性，本地环境进一步覆盖ELEV/LAI效率、FTP—Zenodo镜像访问和</w:t>
      </w:r>
      <w:r>
        <w:rPr>
          <w:rFonts w:ascii="Consolas" w:hAnsi="Consolas" w:eastAsia="等线"/>
        </w:rPr>
        <w:t>gm2</w:t>
      </w:r>
      <w:r>
        <w:rPr>
          <w:rFonts w:ascii="Times New Roman" w:hAnsi="Times New Roman" w:eastAsia="宋体"/>
        </w:rPr>
        <w:t>陆面案例，共同形成从自动维护到数据应用的分层运行体系。</w:t>
      </w:r>
    </w:p>
    <w:p>
      <w:pPr>
        <w:pStyle w:val="Heading1"/>
      </w:pPr>
      <w:r>
        <w:rPr>
          <w:rFonts w:ascii="Times New Roman" w:hAnsi="Times New Roman" w:eastAsia="宋体"/>
        </w:rPr>
        <w:t>4 结果与性能分析</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3060"/>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标准产品生产与OISST结果</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w:t>
      </w:r>
      <w:r>
        <w:rPr>
          <w:rFonts w:ascii="Consolas" w:hAnsi="Consolas" w:eastAsia="等线"/>
        </w:rPr>
        <w:t>SIZE</w:t>
      </w:r>
      <w:r>
        <w:rPr>
          <w:rFonts w:ascii="Times New Roman" w:hAnsi="Times New Roman" w:eastAsia="宋体"/>
        </w:rPr>
        <w:t>和SHA-256；经回环HTTP事务式下载后，正式文件摘要与目录完全一致，缓存目录中的</w:t>
      </w:r>
      <w:r>
        <w:rPr>
          <w:rFonts w:ascii="Consolas" w:hAnsi="Consolas" w:eastAsia="等线"/>
        </w:rPr>
        <w:t>.part</w:t>
      </w:r>
      <w:r>
        <w:rPr>
          <w:rFonts w:ascii="Times New Roman" w:hAnsi="Times New Roman" w:eastAsia="宋体"/>
        </w:rPr>
        <w:t>文件回收率为100%。</w:t>
      </w:r>
      <w:r>
        <w:rPr>
          <w:rFonts w:ascii="Consolas" w:hAnsi="Consolas" w:eastAsia="等线"/>
        </w:rPr>
        <w:t>read_dataset</w:t>
      </w:r>
      <w:r>
        <w:rPr>
          <w:rFonts w:ascii="Times New Roman" w:hAnsi="Times New Roman" w:eastAsia="宋体"/>
        </w:rPr>
        <w:t>读取的整场数组与独立参考逐点一致，形成从源产品、共享YAML生产、完整性目录到统一读取的端到端数据链路。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r>
        <w:rPr>
          <w:rFonts w:ascii="Times New Roman" w:hAnsi="Times New Roman" w:eastAsia="宋体"/>
          <w:b/>
        </w:rPr>
        <w:t>Figure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组处理实例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w:t>
      </w:r>
      <w:r>
        <w:rPr>
          <w:rFonts w:ascii="Consolas" w:hAnsi="Consolas" w:eastAsia="等线"/>
        </w:rPr>
        <w:t>SIZE</w:t>
      </w:r>
      <w:r>
        <w:rPr>
          <w:rFonts w:ascii="Times New Roman" w:hAnsi="Times New Roman" w:eastAsia="宋体"/>
        </w:rPr>
        <w:t>和SHA-256与文件相符。NetcdfIO接口迁移与配置对象复用机制进一步统一文件访问和批量生产行为，使二维/三维输出、坐标变换、数值处理、Gapfill和目录生成由同一工作流连接；完整YAML示例和固定输入路径共同构成可复用的数据贡献模板。</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由13类镜像状态构成的可靠性分析表明，Collector能够优先选择延迟较低的候选，同时保留全部URL并依次回退。每次获取采用独立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文件，内容经字节数和SHA-256确认后进入正式路径；130次获取记录均完成临时文件回收，既有正式文件摘要保持一致。</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进一步将标准产品组织为Emerald可直接使用的参数与气象字典，并支持植被、裸土和时间序列等模型输入场景。GriddingMachine输出由此进入Emerald参数组织、气象组织、模型初始化和60 s单步计算，建立从标准数据读取到模型首个时间步的直接连接。</w:t>
      </w:r>
    </w:p>
    <w:p>
      <w:r>
        <w:rPr>
          <w:rFonts w:ascii="Times New Roman" w:hAnsi="Times New Roman" w:eastAsia="宋体"/>
        </w:rPr>
        <w:t>陆面案例使用2020年</w:t>
      </w:r>
      <w:r>
        <w:rPr>
          <w:rFonts w:ascii="Consolas" w:hAnsi="Consolas" w:eastAsia="等线"/>
        </w:rPr>
        <w:t>gm2</w:t>
      </w:r>
      <w:r>
        <w:rPr>
          <w:rFonts w:ascii="Times New Roman" w:hAnsi="Times New Roman" w:eastAsia="宋体"/>
        </w:rPr>
        <w:t>的14类标准产品，文件大小、来源摘要和SHA-256均通过核验。US-NR1站点映射至相应规则格点，</w:t>
      </w:r>
      <w:r>
        <w:rPr>
          <w:rFonts w:ascii="Consolas" w:hAnsi="Consolas" w:eastAsia="等线"/>
        </w:rPr>
        <w:t>grid_dict</w:t>
      </w:r>
      <w:r>
        <w:rPr>
          <w:rFonts w:ascii="Times New Roman" w:hAnsi="Times New Roman" w:eastAsia="宋体"/>
        </w:rPr>
        <w:t>组织34个模型字段、366日季节序列、4个土壤层和17个植物功能型，高程、陆地掩膜与叶面积指数得到一致读取。撒哈拉案例返回非植被格点状态，体现了接口根据陆面特征组织模型入口的能力。</w:t>
      </w:r>
      <w:r>
        <w:rPr>
          <w:rFonts w:ascii="Consolas" w:hAnsi="Consolas" w:eastAsia="等线"/>
        </w:rPr>
        <w:t>gm2</w:t>
      </w:r>
      <w:r>
        <w:rPr>
          <w:rFonts w:ascii="Times New Roman" w:hAnsi="Times New Roman" w:eastAsia="宋体"/>
        </w:rPr>
        <w:t>文件由此贯通完整性目录、统一读取和陆面参数组织，并覆盖植被与非植被入口。</w:t>
      </w:r>
    </w:p>
    <w:p>
      <w:pPr>
        <w:pStyle w:val="Heading2"/>
      </w:pPr>
      <w:r>
        <w:rPr>
          <w:rFonts w:ascii="Times New Roman" w:hAnsi="Times New Roman" w:eastAsia="宋体"/>
        </w:rPr>
        <w:t>4.5 多操作系统环境运行表现</w:t>
      </w:r>
    </w:p>
    <w:p>
      <w:r>
        <w:rPr>
          <w:rFonts w:ascii="Times New Roman" w:hAnsi="Times New Roman" w:eastAsia="宋体"/>
        </w:rPr>
        <w:t>各操作系统环境均可运行标准产品生产、直接NetCDF分发、多镜像获取和Emerald模型接口，并获得一致的数据结构、SHA-256摘要和模型字段。同一下载接口在各环境中实现延迟辅助排序、全候选保留和顺序回退，体现了核心代码路径的可移植性、数据接口的一致性及其对网络条件变化的适应能力。</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Emerald最小步进和</w:t>
      </w:r>
      <w:r>
        <w:rPr>
          <w:rFonts w:ascii="Consolas" w:hAnsi="Consolas" w:eastAsia="等线"/>
        </w:rPr>
        <w:t>gm2</w:t>
      </w:r>
      <w:r>
        <w:rPr>
          <w:rFonts w:ascii="Times New Roman" w:hAnsi="Times New Roman" w:eastAsia="宋体"/>
        </w:rPr>
        <w:t>陆面链路连接数据产品与模型。海温与陆面产品共同呈现框架在全球规则网格数据生命周期中的适用性。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文件级变更记录与发布级配置归档共同支撑复用[1]。FAIR4RS强调科研软件的可执行性、复合依赖、持续演化和版本管理[16]；TRUST原则进一步提出透明度、责任、用户关注、可持续性和技术能力[17]。对我国国家科学数据中心的调研也显示，标准化元数据、持久标识与清晰的数据使用信息是提升科学数据复用水平的重要环节[18]。</w:t>
      </w:r>
    </w:p>
    <w:p>
      <w:r>
        <w:rPr>
          <w:rFonts w:ascii="Times New Roman" w:hAnsi="Times New Roman" w:eastAsia="宋体"/>
        </w:rPr>
        <w:t>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，通过下载后校验、目录事务替换和版本化依赖连接数据产品、目录与软件环境。OISST和ELEV案例进一步将配置、坐标、科学数组、文件摘要和读取结果纳入同一复现链，为软件与数据版本的共同引用提供基础[8]。</w:t>
      </w:r>
    </w:p>
    <w:p>
      <w:pPr>
        <w:pStyle w:val="Heading2"/>
      </w:pPr>
      <w:r>
        <w:rPr>
          <w:rFonts w:ascii="Times New Roman" w:hAnsi="Times New Roman" w:eastAsia="宋体"/>
        </w:rPr>
        <w:t>5.4 框架扩展与应用前景</w:t>
      </w:r>
    </w:p>
    <w:p>
      <w:r>
        <w:rPr>
          <w:rFonts w:ascii="Times New Roman" w:hAnsi="Times New Roman" w:eastAsia="宋体"/>
        </w:rPr>
        <w:t>共享YAML契约为历史产品迁移以及非规则网格、区域投影和复杂时间坐标的源适配提供统一入口；坐标单调性、值域、逐点数组断言与方向图能够进一步汇入同一质量报告。独立目录和多镜像机制也便于积累不同文件规模、网络条件与持续时间下的传输观测，从而持续优化候选排序和镜像组织。围绕OISST建立的异构产品生产链可自然扩展至多时段海洋与气象数据，结构化目录服务和永久软件归档则将增强数据发现、版本引用及跨团队复用能力。</w:t>
      </w:r>
    </w:p>
    <w:p>
      <w:r>
        <w:rPr>
          <w:rFonts w:ascii="Times New Roman" w:hAnsi="Times New Roman" w:eastAsia="宋体"/>
        </w:rPr>
        <w:t>现有数据贡献模板、规则网格索引、植被与非植被入口以及</w:t>
      </w:r>
      <w:r>
        <w:rPr>
          <w:rFonts w:ascii="Consolas" w:hAnsi="Consolas" w:eastAsia="等线"/>
        </w:rPr>
        <w:t>grid_dict/grid_weather</w:t>
      </w:r>
      <w:r>
        <w:rPr>
          <w:rFonts w:ascii="Times New Roman" w:hAnsi="Times New Roman" w:eastAsia="宋体"/>
        </w:rPr>
        <w:t>字段组织，已经为气象驱动、长期模拟和多模型适配形成稳定接口。</w:t>
      </w:r>
      <w:r>
        <w:rPr>
          <w:rFonts w:ascii="Consolas" w:hAnsi="Consolas" w:eastAsia="等线"/>
        </w:rPr>
        <w:t>gm2</w:t>
      </w:r>
      <w:r>
        <w:rPr>
          <w:rFonts w:ascii="Times New Roman" w:hAnsi="Times New Roman" w:eastAsia="宋体"/>
        </w:rPr>
        <w:t>陆面链路与Emerald模型初始化进一步表明，GriddingMachine可以作为数据产品与地球系统模型之间的轻量中间层，在保持标准产品独立性的同时支持模型参数、边界条件和驱动数据的统一组织。</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schema、显式源维度映射、Gapfill、独立目录、直接NetCDF、事务式缓存及统一读取接口组成的可执行数据生命周期，实现从异构源数据到模型就绪输入的贯通。</w:t>
      </w:r>
    </w:p>
    <w:p>
      <w:r>
        <w:rPr>
          <w:rFonts w:ascii="Times New Roman" w:hAnsi="Times New Roman" w:eastAsia="宋体"/>
        </w:rPr>
        <w:t>OISST V2.1产品从四维打包源数据生成1440×720标准海表温度产品，坐标、有效值掩膜和691 150个物理值与独立参考逐点一致。对于已经内部压缩的ELEV和LAI产品，直接NetCDF在两个独立环境中将缓存预热后的端到端中位时间降低48.3%～82.9%和53.6%～69.2%；校园网内4个代表性产品通过FTP与Zenodo实现内容一致的双镜像获取，14类陆面产品生成US-NR1参数字典并进入Emerald模型初始化。</w:t>
      </w:r>
    </w:p>
    <w:p>
      <w:r>
        <w:rPr>
          <w:rFonts w:ascii="Times New Roman" w:hAnsi="Times New Roman" w:eastAsia="宋体"/>
        </w:rPr>
        <w:t>GriddingMachine由此形成面向地球系统模型的轻量数据生产与可信分发基础设施。海温产品生产、陆面参数组织与双镜像分发共同体现框架对全球规则网格数据的贯通能力，并为多时段产品、气象驱动和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GriddingMachine.jl和GriddingMachineDatasets的论文对应代码固定于</w:t>
      </w:r>
      <w:r>
        <w:rPr>
          <w:rFonts w:ascii="Consolas" w:hAnsi="Consolas" w:eastAsia="等线"/>
        </w:rPr>
        <w:t>paper-release</w:t>
      </w:r>
      <w:r>
        <w:rPr>
          <w:rFonts w:ascii="Times New Roman" w:hAnsi="Times New Roman" w:eastAsia="宋体"/>
        </w:rPr>
        <w:t>分支，各仓库提供版本化依赖与持续集成配置；投稿版本将通过正式发布版本（release）和永久归档保存软件、数据目录、实验结果、环境文件和绘图脚本。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p>
      <w:r>
        <w:rPr>
          <w:rFonts w:ascii="Times New Roman" w:hAnsi="Times New Roman" w:eastAsia="宋体"/>
        </w:rPr>
        <w:t>[18] 李楠楠, 刘筱敏. 我国国家科学数据中心FAIR原则的实践现状调查与分析[J]. 图书与情报, 2023, 43(2): 137-144. DOI: 10.11968/tsyqb.1003-6938.2023032. [LI N N, LIU X M.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