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preprocessing rules, unit conversions, dataset identifiers, and distribution methods require individual modeling efforts to maintain separate databases, complicating ongoing model development and evaluation. Building on the 2022 release of GriddingMachine, this study improves data preprocessing, distribution, and reading. Shared YAML configurations describe source data structures and transformation rules; an independent catalog manages dataset tags, mirrors, and integrity metadata; and unified interfaces organize land parameters and meteorological forcing. In addition to Julia support, we have adapted automatic downloading of the updated datasets for MATLAB, Octave, Python, and R, and added automatic data retrieval interfaces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陆地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面向本地模式运行建立具有统一空间、变量和元数据约定的科研数据库，对于减少重复整理和保证输入一致性具有实际意义。</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提升了大尺度遥感数据的访问和分析能力[3]，但云端访问并不能替代面向固定版本、离线缓存和模式直接调用的本地数据组织。现有标准和平台改善了数据表达、发现、计算或访问，却不会自动解决源数据处理规则、数据标识、网络副本和模式输入字段之间的一致性问题。</w:t>
      </w:r>
    </w:p>
    <w:p>
      <w:r>
        <w:rPr>
          <w:rFonts w:ascii="Times New Roman" w:hAnsi="Times New Roman" w:eastAsia="宋体"/>
        </w:rPr>
        <w:t>Wang等[4]于2022年发布了基于Julia语言的GriddingMachine数据库和软件，用于将常用于陆面和地球系统模拟的全球数据处理为具有统一空间和变量约定的NetCDF文件，并通过标签、Artifacts.toml和Julia 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