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面向地球系统模式的全球网格数据库：GriddingMachine框架更新与应用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地球系统模式依赖区域至全球尺度的网格数据进行参数初始化和结果验证。尽管当前数据大多采用NetCDF、HDF或GeoTIFF等标准格式，源数据处理规则、单位换算、数据标识和网络分发方式仍存在差异，使得每个模式不得不单独维护数据库，给模式持续更新和验证带来不必要的困难。本文在2022版GriddingMachine基础上，完善数据预处理、数据分发和数据读取流程：以共享YAML配置描述源数据结构及转换规则，以独立目录管理标准化数据的标签、镜像和完整性信息，并通过统一接口组织陆面参数和气象驱动。除Julia外，我们适配了MATLAB、Octave、Python和R语言对新版数据的自动下载支持，并新增C和Fortran的自动获取入口。这些更新使研究人员能够通过统一方式处理、获取和调用网格数据，减少不同地球系统模式重复整理和维护数据的工作，为科学研究与应用提供便利。</w:t>
      </w:r>
    </w:p>
    <w:p>
      <w:r>
        <w:rPr>
          <w:rFonts w:ascii="Times New Roman" w:hAnsi="Times New Roman" w:eastAsia="宋体"/>
          <w:b/>
        </w:rPr>
        <w:t>关键词：</w:t>
      </w:r>
      <w:r>
        <w:rPr>
          <w:rFonts w:ascii="Times New Roman" w:hAnsi="Times New Roman" w:eastAsia="宋体"/>
        </w:rPr>
        <w:t xml:space="preserve"> 地球系统模式；全球网格数据库；数据标准化；NetCDF；数据完整性；模式输入</w:t>
      </w:r>
    </w:p>
    <w:p>
      <w:r>
        <w:rPr>
          <w:rFonts w:ascii="Times New Roman" w:hAnsi="Times New Roman" w:eastAsia="宋体"/>
          <w:b/>
        </w:rPr>
        <w:t>A Global Gridded Database for Earth System Models: Advances and Applications of GriddingMachine</w:t>
      </w:r>
    </w:p>
    <w:p>
      <w:r>
        <w:rPr>
          <w:rFonts w:ascii="Times New Roman" w:hAnsi="Times New Roman" w:eastAsia="宋体"/>
          <w:b/>
        </w:rPr>
        <w:t>Hao JIANG^1, Yujie WANG^1\</w:t>
      </w:r>
      <w:r>
        <w:rPr>
          <w:rFonts w:ascii="Times New Roman" w:hAnsi="Times New Roman" w:eastAsia="宋体"/>
        </w:rPr>
        <w:t>*</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Earth system models rely on gridded data at regional to global scales for parameter initialization and evaluation of simulation results. Although most datasets are available in standard formats such as NetCDF, HDF, or GeoTIFF, differences in source-processing rules, unit conversion, data identification, and distribution methods require each model to maintain its own database, creating unnecessary difficulties for continued model development and evaluation. Building on the 2022 release of GriddingMachine, this study improves data preprocessing, distribution, and data reading. Shared YAML configurations describe source data structures and transformation rules; an independent catalog manages standardized-data tags, mirrors, and integrity metadata; and unified interfaces organize land parameters and meteorological forcing. In addition to Julia, we have adapted automatic downloading of the updated data for MATLAB, Octave, Python, and R, and added automatic data-retrieval entry points for C and Fortran. These updates enable researchers to process, retrieve, and access gridded data through a consistent workflow, reducing repeated data preparation and maintenance across Earth system models and facilitating scientific research and applications.</w:t>
      </w:r>
    </w:p>
    <w:p>
      <w:r>
        <w:rPr>
          <w:rFonts w:ascii="Times New Roman" w:hAnsi="Times New Roman" w:eastAsia="宋体"/>
          <w:b/>
        </w:rPr>
        <w:t>Keywords:</w:t>
      </w:r>
      <w:r>
        <w:rPr>
          <w:rFonts w:ascii="Times New Roman" w:hAnsi="Times New Roman" w:eastAsia="宋体"/>
        </w:rPr>
        <w:t xml:space="preserve"> Earth system models; global gridded database; data standardization; NetCDF; data integrity; model input</w:t>
      </w:r>
    </w:p>
    <w:p>
      <w:pPr>
        <w:pStyle w:val="Heading1"/>
      </w:pPr>
      <w:r>
        <w:rPr>
          <w:rFonts w:ascii="Times New Roman" w:hAnsi="Times New Roman" w:eastAsia="宋体"/>
        </w:rPr>
        <w:t>1 引言</w:t>
      </w:r>
    </w:p>
    <w:p>
      <w:r>
        <w:rPr>
          <w:rFonts w:ascii="Times New Roman" w:hAnsi="Times New Roman" w:eastAsia="宋体"/>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宋体"/>
          <w:b/>
        </w:rPr>
        <w:t>F</w:t>
      </w:r>
      <w:r>
        <w:rPr>
          <w:rFonts w:ascii="Times New Roman" w:hAnsi="Times New Roman" w:eastAsia="宋体"/>
        </w:rPr>
        <w:t>indable）、可获取（</w:t>
      </w:r>
      <w:r>
        <w:rPr>
          <w:rFonts w:ascii="Times New Roman" w:hAnsi="Times New Roman" w:eastAsia="宋体"/>
          <w:b/>
        </w:rPr>
        <w:t>A</w:t>
      </w:r>
      <w:r>
        <w:rPr>
          <w:rFonts w:ascii="Times New Roman" w:hAnsi="Times New Roman" w:eastAsia="宋体"/>
        </w:rPr>
        <w:t>ccessible）、可互操作（</w:t>
      </w:r>
      <w:r>
        <w:rPr>
          <w:rFonts w:ascii="Times New Roman" w:hAnsi="Times New Roman" w:eastAsia="宋体"/>
          <w:b/>
        </w:rPr>
        <w:t>I</w:t>
      </w:r>
      <w:r>
        <w:rPr>
          <w:rFonts w:ascii="Times New Roman" w:hAnsi="Times New Roman" w:eastAsia="宋体"/>
        </w:rPr>
        <w:t>nteroperable）和可复用（</w:t>
      </w:r>
      <w:r>
        <w:rPr>
          <w:rFonts w:ascii="Times New Roman" w:hAnsi="Times New Roman" w:eastAsia="宋体"/>
          <w:b/>
        </w:rPr>
        <w:t>R</w:t>
      </w:r>
      <w:r>
        <w:rPr>
          <w:rFonts w:ascii="Times New Roman" w:hAnsi="Times New Roman" w:eastAsia="宋体"/>
        </w:rPr>
        <w:t>eusable）的FAIR（Findable, Accessible, Interoperable, Reusable）原则[1]。NetCDF具有自描述、跨系统和适合多维数组等特点，CF元数据约定进一步通过坐标、物理量、单位和时空属性促进不同数据源之间的解释与处理[2]。Google Earth Engine等云平台通过改善数据表达、发现、访问及计算，显著提升了大尺度遥感数据的访问和分析能力[3]。然而，对于面向固定版本、离线缓存和模式直接调用的工作流，研究人员仍需要把数据转换规则、标准产品标识、网络获取内容和下游模式接口连接起来，因此一个适用于本地运行的标准化数据库是非常必要的。</w:t>
      </w:r>
    </w:p>
    <w:p>
      <w:r>
        <w:rPr>
          <w:rFonts w:ascii="Times New Roman" w:hAnsi="Times New Roman" w:eastAsia="宋体"/>
        </w:rPr>
        <w:t>Wang等[4]于2022年发布了基于Julia语言的GriddingMachine数据库和软件，旨在将常用于陆面和地球系统模拟的全球数据处理为具有统一空间和变量约定的NetCDF文件，并通过标签、Artifacts.toml文件和Julia artifact机制实现数据管理与自动下载，同时提供Julia、MATLAB、Octave、Python和R接口。2022版已经建立了统一网格约定、数据标签和多语言访问基础，但其数据处理主要依赖数据集专用脚本，标准化数据以带有标签文件的</w:t>
      </w:r>
      <w:r>
        <w:rPr>
          <w:rFonts w:ascii="Consolas" w:hAnsi="Consolas" w:eastAsia="等线"/>
        </w:rPr>
        <w:t>tar.gz</w:t>
      </w:r>
      <w:r>
        <w:rPr>
          <w:rFonts w:ascii="Times New Roman" w:hAnsi="Times New Roman" w:eastAsia="宋体"/>
        </w:rPr>
        <w:t>归档分发，数据目录也随软件包维护。随着数据类型、分发位置和模式应用链条扩展，源数据处理规则、数据目录、网络获取和模式输入之间需要进一步统一。</w:t>
      </w:r>
    </w:p>
    <w:p>
      <w:r>
        <w:rPr>
          <w:rFonts w:ascii="Times New Roman" w:hAnsi="Times New Roman" w:eastAsia="宋体"/>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宋体"/>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配置规范表达源维度、坐标、数值变换、Gapfill 和质量控制；数据目录与获取层以逻辑标签连接数据副本，并对登记了文件字节数和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宋体"/>
        </w:rPr>
        <w:t>本文通过受控数据处理实例、真实网格数据标准化、网络镜像获取和模式输入案例，评价新版框架的数据一致性、可执行性和接口适配能力；同时适配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宋体"/>
        </w:rPr>
        <w:t>2 框架设计与关键方法</w:t>
      </w:r>
    </w:p>
    <w:p>
      <w:pPr>
        <w:pStyle w:val="Heading2"/>
      </w:pPr>
      <w:r>
        <w:rPr>
          <w:rFonts w:ascii="Times New Roman" w:hAnsi="Times New Roman" w:eastAsia="宋体"/>
        </w:rPr>
        <w:t>2.1 总体架构与数据生命周期</w:t>
      </w:r>
    </w:p>
    <w:p>
      <w:r>
        <w:rPr>
          <w:rFonts w:ascii="Times New Roman" w:hAnsi="Times New Roman" w:eastAsia="宋体"/>
        </w:rPr>
        <w:t>GriddingMachine新版围绕三个相互衔接的生命周期层次组织（图1）：数据生产与标准化层负责把来源、结构和数值约定不同的地学数据转换为标准NetCDF；数据目录与可信分发层负责维护标签、版本、镜像和完整性元数据，并使数据目录能够独立于</w:t>
      </w:r>
      <w:r>
        <w:rPr>
          <w:rFonts w:ascii="Consolas" w:hAnsi="Consolas" w:eastAsia="等线"/>
        </w:rPr>
        <w:t>GriddingMachine.jl</w:t>
      </w:r>
      <w:r>
        <w:rPr>
          <w:rFonts w:ascii="Times New Roman" w:hAnsi="Times New Roman" w:eastAsia="宋体"/>
        </w:rPr>
        <w:t>软件包版本更新；模式输入组织层负责数据发现、获取、读取以及陆面参数和气象驱动组织。数据生产与标准化层主要由</w:t>
      </w:r>
      <w:r>
        <w:rPr>
          <w:rFonts w:ascii="Consolas" w:hAnsi="Consolas" w:eastAsia="等线"/>
        </w:rPr>
        <w:t>GriddingMachineDatasets</w:t>
      </w:r>
      <w:r>
        <w:rPr>
          <w:rFonts w:ascii="Times New Roman" w:hAnsi="Times New Roman" w:eastAsia="宋体"/>
        </w:rPr>
        <w:t>承担，数据目录与可信分发层及模式输入组织层主要由</w:t>
      </w:r>
      <w:r>
        <w:rPr>
          <w:rFonts w:ascii="Consolas" w:hAnsi="Consolas" w:eastAsia="等线"/>
        </w:rPr>
        <w:t>GriddingMachine.jl</w:t>
      </w:r>
      <w:r>
        <w:rPr>
          <w:rFonts w:ascii="Times New Roman" w:hAnsi="Times New Roman" w:eastAsia="宋体"/>
        </w:rPr>
        <w:t>承担。三层共同形成“生产—质控—发布—发现—下载—读取—模型调用”的数据生命周期，其中各层通过标准NetCDF和稳定标签衔接，同时保留独立演化的维护边界。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宋体"/>
          <w:b/>
        </w:rPr>
        <w:t>图1 GriddingMachine从2022版基线到新版数据生命周期的架构更新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型调用；（c）O1—O5依次表示统一数据契约、简化数据制品、目录独立演化、事务式获取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data lifecycle.</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artifacts, independent catalog evolution, transactional acquisition, and model-ready interfaces. Orange dashed lines map these updates to the corresponding baseline components and core nodes in the updated workflow.</w:t>
      </w:r>
    </w:p>
    <w:p>
      <w:r>
        <w:rPr>
          <w:rFonts w:ascii="Times New Roman" w:hAnsi="Times New Roman" w:eastAsia="宋体"/>
        </w:rPr>
        <w:t>在数据生产与标准化层，原始数据及其处理规则分别作为数据输入和YAML配置输入。新版使用共享配置规范描述原始文件组合、源变量、经纬度方向、源维度语义、数值变换、有效范围、Gapfill及输出元数据；配置构建器与处理流水线遵循同一规范。生产引擎依据配置枚举输入，依次完成读取、标准化、质量控制和保存，最终生成以统一标签命名的NetCDF数据。维度、坐标、数值和空间方向检查嵌入生产流程，使标准数据在生成阶段即具有清晰的数据语义。</w:t>
      </w:r>
    </w:p>
    <w:p>
      <w:r>
        <w:rPr>
          <w:rFonts w:ascii="Times New Roman" w:hAnsi="Times New Roman" w:eastAsia="宋体"/>
        </w:rPr>
        <w:t>通过质量控制的数据产品可发布到机构FTP、HTTP(S)服务或Zenodo等公共存储位置。同一标签可对应多个内容相同的网络副本，本文将其称为多镜像分发。独立数据目录登记相对路径和镜像地址，并可为新登记或需要严格完整性管理的条目记录文件字节数和SHA-256；目录生成过程从权威标准文件计算相应完整性元数据并以事务方式写入YAML。目录与访问软件分开维护，支持数据产品列表及其分发位置独立更新。</w:t>
      </w:r>
    </w:p>
    <w:p>
      <w:r>
        <w:rPr>
          <w:rFonts w:ascii="Times New Roman" w:hAnsi="Times New Roman" w:eastAsia="宋体"/>
        </w:rPr>
        <w:t>在数据目录与可信分发层，目录管理模块显式设置数据根目录与目录来源。目录更新经临时文件完成配置规范校验和事务式替换，并保留上一有效版本。数据获取模块提取各镜像地址的主机名，以可获得的平均往返延迟辅助确定候选顺序，同时保留全部镜像并依次回退。每次传输创建独立临时文件。对于登记了</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的条目，文件通过字节数和摘要核验后进入正式数据目录；历史条目由兼容模式保持标签访问。本文将版本化目录、内容一致的镜像、事务式落盘和内容完整性校验共同构成的获取机制定义为“可信分发”。</w:t>
      </w:r>
    </w:p>
    <w:p>
      <w:r>
        <w:rPr>
          <w:rFonts w:ascii="Times New Roman" w:hAnsi="Times New Roman" w:eastAsia="宋体"/>
        </w:rPr>
        <w:t>模式输入组织层提供标签驱动的整场、指定周期及站点读取，并进一步完成格点尺度陆面参数融合与气象驱动组织。由14类产品组成的第二套陆面参数集合（代码标识为</w:t>
      </w:r>
      <w:r>
        <w:rPr>
          <w:rFonts w:ascii="Consolas" w:hAnsi="Consolas" w:eastAsia="等线"/>
        </w:rPr>
        <w:t>gm2</w:t>
      </w:r>
      <w:r>
        <w:rPr>
          <w:rFonts w:ascii="Times New Roman" w:hAnsi="Times New Roman" w:eastAsia="宋体"/>
        </w:rPr>
        <w:t>）贯通参数组织链路并进入Emerald初始化。本文所称“模型就绪”指标准产品经过格点索引、字段组织、时间轴构建和量纲衔接后形成满足Emerald初始化与首步运行的数据结构。</w:t>
      </w:r>
    </w:p>
    <w:p>
      <w:r>
        <w:rPr>
          <w:rFonts w:ascii="Times New Roman" w:hAnsi="Times New Roman" w:eastAsia="宋体"/>
        </w:rPr>
        <w:t>共享YAML、独立目录与统一读取接口共同重构了GriddingMachine的维护单元：数据处理规则由配置契约表达，数据产品与镜像由目录版本管理，模型应用继续使用稳定标签。该设计支持数据产品、分发目录和访问软件在保持接口一致的条件下分别更新，形成贯通生产、发布和应用的可维护数据生命周期。</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宋体"/>
                <w:b/>
                <w:sz w:val="18"/>
              </w:rPr>
              <w:t>环节</w:t>
            </w:r>
          </w:p>
        </w:tc>
        <w:tc>
          <w:tcPr>
            <w:tcW w:type="dxa" w:w="2211"/>
            <w:shd w:fill="D9EAF7"/>
          </w:tcPr>
          <w:p>
            <w:r>
              <w:rPr>
                <w:b/>
                <w:sz w:val="18"/>
              </w:rPr>
            </w:r>
            <w:r>
              <w:rPr>
                <w:rFonts w:ascii="Times New Roman" w:hAnsi="Times New Roman" w:eastAsia="宋体"/>
                <w:b/>
                <w:sz w:val="18"/>
              </w:rPr>
              <w:t>2022版</w:t>
            </w:r>
          </w:p>
        </w:tc>
        <w:tc>
          <w:tcPr>
            <w:tcW w:type="dxa" w:w="2211"/>
            <w:shd w:fill="D9EAF7"/>
          </w:tcPr>
          <w:p>
            <w:r>
              <w:rPr>
                <w:b/>
                <w:sz w:val="18"/>
              </w:rPr>
            </w:r>
            <w:r>
              <w:rPr>
                <w:rFonts w:ascii="Times New Roman" w:hAnsi="Times New Roman" w:eastAsia="宋体"/>
                <w:b/>
                <w:sz w:val="18"/>
              </w:rPr>
              <w:t>新版</w:t>
            </w:r>
          </w:p>
        </w:tc>
        <w:tc>
          <w:tcPr>
            <w:tcW w:type="dxa" w:w="2211"/>
            <w:shd w:fill="D9EAF7"/>
          </w:tcPr>
          <w:p>
            <w:r>
              <w:rPr>
                <w:b/>
                <w:sz w:val="18"/>
              </w:rPr>
            </w:r>
            <w:r>
              <w:rPr>
                <w:rFonts w:ascii="Times New Roman" w:hAnsi="Times New Roman" w:eastAsia="宋体"/>
                <w:b/>
                <w:sz w:val="18"/>
              </w:rPr>
              <w:t>应用价值</w:t>
            </w:r>
          </w:p>
        </w:tc>
      </w:tr>
      <w:tr>
        <w:tc>
          <w:tcPr>
            <w:tcW w:type="dxa" w:w="2211"/>
          </w:tcPr>
          <w:p>
            <w:r>
              <w:rPr>
                <w:sz w:val="18"/>
              </w:rPr>
            </w:r>
            <w:r>
              <w:rPr>
                <w:rFonts w:ascii="Times New Roman" w:hAnsi="Times New Roman" w:eastAsia="宋体"/>
                <w:sz w:val="18"/>
              </w:rPr>
              <w:t>分发单元</w:t>
            </w:r>
          </w:p>
        </w:tc>
        <w:tc>
          <w:tcPr>
            <w:tcW w:type="dxa" w:w="2211"/>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11"/>
          </w:tcPr>
          <w:p>
            <w:r>
              <w:rPr>
                <w:sz w:val="18"/>
              </w:rPr>
            </w:r>
            <w:r>
              <w:rPr>
                <w:rFonts w:ascii="Times New Roman" w:hAnsi="Times New Roman" w:eastAsia="宋体"/>
                <w:sz w:val="18"/>
              </w:rPr>
              <w:t>可直接读取的</w:t>
            </w:r>
            <w:r>
              <w:rPr>
                <w:rFonts w:ascii="Consolas" w:hAnsi="Consolas" w:eastAsia="等线"/>
                <w:sz w:val="18"/>
              </w:rPr>
              <w:t>.nc</w:t>
            </w:r>
          </w:p>
        </w:tc>
        <w:tc>
          <w:tcPr>
            <w:tcW w:type="dxa" w:w="2211"/>
          </w:tcPr>
          <w:p>
            <w:r>
              <w:rPr>
                <w:sz w:val="18"/>
              </w:rPr>
            </w:r>
            <w:r>
              <w:rPr>
                <w:rFonts w:ascii="Times New Roman" w:hAnsi="Times New Roman" w:eastAsia="宋体"/>
                <w:sz w:val="18"/>
              </w:rPr>
              <w:t>简化数据获取并降低端到端读取时间</w:t>
            </w:r>
          </w:p>
        </w:tc>
      </w:tr>
      <w:tr>
        <w:tc>
          <w:tcPr>
            <w:tcW w:type="dxa" w:w="2211"/>
          </w:tcPr>
          <w:p>
            <w:r>
              <w:rPr>
                <w:sz w:val="18"/>
              </w:rPr>
            </w:r>
            <w:r>
              <w:rPr>
                <w:rFonts w:ascii="Times New Roman" w:hAnsi="Times New Roman" w:eastAsia="宋体"/>
                <w:sz w:val="18"/>
              </w:rPr>
              <w:t>数据目录</w:t>
            </w:r>
          </w:p>
        </w:tc>
        <w:tc>
          <w:tcPr>
            <w:tcW w:type="dxa" w:w="2211"/>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11"/>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；配置规范校验、事务更新和版本备份</w:t>
            </w:r>
          </w:p>
        </w:tc>
        <w:tc>
          <w:tcPr>
            <w:tcW w:type="dxa" w:w="2211"/>
          </w:tcPr>
          <w:p>
            <w:r>
              <w:rPr>
                <w:sz w:val="18"/>
              </w:rPr>
            </w:r>
            <w:r>
              <w:rPr>
                <w:rFonts w:ascii="Times New Roman" w:hAnsi="Times New Roman" w:eastAsia="宋体"/>
                <w:sz w:val="18"/>
              </w:rPr>
              <w:t>数据产品可独立于软件版本持续扩展</w:t>
            </w:r>
          </w:p>
        </w:tc>
      </w:tr>
      <w:tr>
        <w:tc>
          <w:tcPr>
            <w:tcW w:type="dxa" w:w="2211"/>
          </w:tcPr>
          <w:p>
            <w:r>
              <w:rPr>
                <w:sz w:val="18"/>
              </w:rPr>
            </w:r>
            <w:r>
              <w:rPr>
                <w:rFonts w:ascii="Times New Roman" w:hAnsi="Times New Roman" w:eastAsia="宋体"/>
                <w:sz w:val="18"/>
              </w:rPr>
              <w:t>下载</w:t>
            </w:r>
          </w:p>
        </w:tc>
        <w:tc>
          <w:tcPr>
            <w:tcW w:type="dxa" w:w="2211"/>
          </w:tcPr>
          <w:p>
            <w:r>
              <w:rPr>
                <w:sz w:val="18"/>
              </w:rPr>
            </w:r>
            <w:r>
              <w:rPr>
                <w:rFonts w:ascii="Times New Roman" w:hAnsi="Times New Roman" w:eastAsia="宋体"/>
                <w:sz w:val="18"/>
              </w:rPr>
              <w:t>artifact哈希寻址、多个URL和解包</w:t>
            </w:r>
          </w:p>
        </w:tc>
        <w:tc>
          <w:tcPr>
            <w:tcW w:type="dxa" w:w="2211"/>
          </w:tcPr>
          <w:p>
            <w:r>
              <w:rPr>
                <w:sz w:val="18"/>
              </w:rPr>
            </w:r>
            <w:r>
              <w:rPr>
                <w:rFonts w:ascii="Times New Roman" w:hAnsi="Times New Roman" w:eastAsia="宋体"/>
                <w:sz w:val="18"/>
              </w:rPr>
              <w:t>延迟信号辅助排序；多URL回退、独立临时文件；带</w:t>
            </w:r>
            <w:r>
              <w:rPr>
                <w:rFonts w:ascii="Consolas" w:hAnsi="Consolas" w:eastAsia="等线"/>
                <w:sz w:val="18"/>
              </w:rPr>
              <w:t>SIZE</w:t>
            </w:r>
            <w:r>
              <w:rPr>
                <w:rFonts w:ascii="Times New Roman" w:hAnsi="Times New Roman" w:eastAsia="宋体"/>
                <w:sz w:val="18"/>
              </w:rPr>
              <w:t>/</w:t>
            </w:r>
            <w:r>
              <w:rPr>
                <w:rFonts w:ascii="Consolas" w:hAnsi="Consolas" w:eastAsia="等线"/>
                <w:sz w:val="18"/>
              </w:rPr>
              <w:t>SHA256</w:t>
            </w:r>
            <w:r>
              <w:rPr>
                <w:rFonts w:ascii="Times New Roman" w:hAnsi="Times New Roman" w:eastAsia="宋体"/>
                <w:sz w:val="18"/>
              </w:rPr>
              <w:t>条目可执行严格核验后落盘</w:t>
            </w:r>
          </w:p>
        </w:tc>
        <w:tc>
          <w:tcPr>
            <w:tcW w:type="dxa" w:w="2211"/>
          </w:tcPr>
          <w:p>
            <w:r>
              <w:rPr>
                <w:sz w:val="18"/>
              </w:rPr>
            </w:r>
            <w:r>
              <w:rPr>
                <w:rFonts w:ascii="Times New Roman" w:hAnsi="Times New Roman" w:eastAsia="宋体"/>
                <w:sz w:val="18"/>
              </w:rPr>
              <w:t>将镜像选择与内容完整性判定分离，支持历史目录平滑迁移</w:t>
            </w:r>
          </w:p>
        </w:tc>
      </w:tr>
      <w:tr>
        <w:tc>
          <w:tcPr>
            <w:tcW w:type="dxa" w:w="2211"/>
          </w:tcPr>
          <w:p>
            <w:r>
              <w:rPr>
                <w:sz w:val="18"/>
              </w:rPr>
            </w:r>
            <w:r>
              <w:rPr>
                <w:rFonts w:ascii="Times New Roman" w:hAnsi="Times New Roman" w:eastAsia="宋体"/>
                <w:sz w:val="18"/>
              </w:rPr>
              <w:t>读取</w:t>
            </w:r>
          </w:p>
        </w:tc>
        <w:tc>
          <w:tcPr>
            <w:tcW w:type="dxa" w:w="2211"/>
          </w:tcPr>
          <w:p>
            <w:r>
              <w:rPr>
                <w:sz w:val="18"/>
              </w:rPr>
            </w:r>
            <w:r>
              <w:rPr>
                <w:rFonts w:ascii="Consolas" w:hAnsi="Consolas" w:eastAsia="等线"/>
                <w:sz w:val="18"/>
              </w:rPr>
              <w:t>read_LUT</w:t>
            </w:r>
          </w:p>
        </w:tc>
        <w:tc>
          <w:tcPr>
            <w:tcW w:type="dxa" w:w="2211"/>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11"/>
          </w:tcPr>
          <w:p>
            <w:r>
              <w:rPr>
                <w:sz w:val="18"/>
              </w:rPr>
            </w:r>
            <w:r>
              <w:rPr>
                <w:rFonts w:ascii="Times New Roman" w:hAnsi="Times New Roman" w:eastAsia="宋体"/>
                <w:sz w:val="18"/>
              </w:rPr>
              <w:t>全球规则经纬网整场、周期和站点读取</w:t>
            </w:r>
          </w:p>
        </w:tc>
      </w:tr>
      <w:tr>
        <w:tc>
          <w:tcPr>
            <w:tcW w:type="dxa" w:w="2211"/>
          </w:tcPr>
          <w:p>
            <w:r>
              <w:rPr>
                <w:sz w:val="18"/>
              </w:rPr>
            </w:r>
            <w:r>
              <w:rPr>
                <w:rFonts w:ascii="Times New Roman" w:hAnsi="Times New Roman" w:eastAsia="宋体"/>
                <w:sz w:val="18"/>
              </w:rPr>
              <w:t>模型组织</w:t>
            </w:r>
          </w:p>
        </w:tc>
        <w:tc>
          <w:tcPr>
            <w:tcW w:type="dxa" w:w="2211"/>
          </w:tcPr>
          <w:p>
            <w:r>
              <w:rPr>
                <w:sz w:val="18"/>
              </w:rPr>
            </w:r>
            <w:r>
              <w:rPr>
                <w:rFonts w:ascii="Times New Roman" w:hAnsi="Times New Roman" w:eastAsia="宋体"/>
                <w:sz w:val="18"/>
              </w:rPr>
              <w:t>标准化数据和通用读取</w:t>
            </w:r>
          </w:p>
        </w:tc>
        <w:tc>
          <w:tcPr>
            <w:tcW w:type="dxa" w:w="2211"/>
          </w:tcPr>
          <w:p>
            <w:r>
              <w:rPr>
                <w:sz w:val="18"/>
              </w:rPr>
            </w:r>
            <w:r>
              <w:rPr>
                <w:rFonts w:ascii="Times New Roman" w:hAnsi="Times New Roman" w:eastAsia="宋体"/>
                <w:sz w:val="18"/>
              </w:rPr>
              <w:t>陆面参数融合与气象驱动组织</w:t>
            </w:r>
          </w:p>
        </w:tc>
        <w:tc>
          <w:tcPr>
            <w:tcW w:type="dxa" w:w="2211"/>
          </w:tcPr>
          <w:p>
            <w:r>
              <w:rPr>
                <w:sz w:val="18"/>
              </w:rPr>
            </w:r>
            <w:r>
              <w:rPr>
                <w:rFonts w:ascii="Times New Roman" w:hAnsi="Times New Roman" w:eastAsia="宋体"/>
                <w:sz w:val="18"/>
              </w:rPr>
              <w:t>标准产品进入Emerald参数组织与模型初始化</w:t>
            </w:r>
          </w:p>
        </w:tc>
      </w:tr>
      <w:tr>
        <w:tc>
          <w:tcPr>
            <w:tcW w:type="dxa" w:w="2211"/>
          </w:tcPr>
          <w:p>
            <w:r>
              <w:rPr>
                <w:sz w:val="18"/>
              </w:rPr>
            </w:r>
            <w:r>
              <w:rPr>
                <w:rFonts w:ascii="Times New Roman" w:hAnsi="Times New Roman" w:eastAsia="宋体"/>
                <w:sz w:val="18"/>
              </w:rPr>
              <w:t>数据生产</w:t>
            </w:r>
          </w:p>
        </w:tc>
        <w:tc>
          <w:tcPr>
            <w:tcW w:type="dxa" w:w="2211"/>
          </w:tcPr>
          <w:p>
            <w:r>
              <w:rPr>
                <w:sz w:val="18"/>
              </w:rPr>
            </w:r>
            <w:r>
              <w:rPr>
                <w:rFonts w:ascii="Times New Roman" w:hAnsi="Times New Roman" w:eastAsia="宋体"/>
                <w:sz w:val="18"/>
              </w:rPr>
              <w:t>数据源专用处理及贡献流程</w:t>
            </w:r>
          </w:p>
        </w:tc>
        <w:tc>
          <w:tcPr>
            <w:tcW w:type="dxa" w:w="2211"/>
          </w:tcPr>
          <w:p>
            <w:r>
              <w:rPr>
                <w:sz w:val="18"/>
              </w:rPr>
            </w:r>
            <w:r>
              <w:rPr>
                <w:rFonts w:ascii="Times New Roman" w:hAnsi="Times New Roman" w:eastAsia="宋体"/>
                <w:sz w:val="18"/>
              </w:rPr>
              <w:t>共享YAML配置规范、程序化与交互式配置生成及显式源维度映射</w:t>
            </w:r>
          </w:p>
        </w:tc>
        <w:tc>
          <w:tcPr>
            <w:tcW w:type="dxa" w:w="2211"/>
          </w:tcPr>
          <w:p>
            <w:r>
              <w:rPr>
                <w:sz w:val="18"/>
              </w:rPr>
            </w:r>
            <w:r>
              <w:rPr>
                <w:rFonts w:ascii="Times New Roman" w:hAnsi="Times New Roman" w:eastAsia="宋体"/>
                <w:sz w:val="18"/>
              </w:rPr>
              <w:t>形成共享的标准产品生产工作流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YAML驱动的数据生产与标准化</w:t>
      </w:r>
    </w:p>
    <w:p>
      <w:pPr>
        <w:pStyle w:val="Heading3"/>
      </w:pPr>
      <w:r>
        <w:rPr>
          <w:rFonts w:ascii="Times New Roman" w:hAnsi="Times New Roman" w:eastAsia="宋体"/>
        </w:rPr>
        <w:t>2.2.1 数据契约与维度映射</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[4]。新版延续这些核心约定，并将源维度映射、处理记录、版本化配置和分发完整性纳入相互衔接的机器可读规范（表2）。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宋体"/>
                <w:b/>
                <w:sz w:val="18"/>
              </w:rPr>
              <w:t>类别</w:t>
            </w:r>
          </w:p>
        </w:tc>
        <w:tc>
          <w:tcPr>
            <w:tcW w:type="dxa" w:w="2948"/>
            <w:shd w:fill="D9EAF7"/>
          </w:tcPr>
          <w:p>
            <w:r>
              <w:rPr>
                <w:b/>
                <w:sz w:val="18"/>
              </w:rPr>
            </w:r>
            <w:r>
              <w:rPr>
                <w:rFonts w:ascii="Times New Roman" w:hAnsi="Times New Roman" w:eastAsia="宋体"/>
                <w:b/>
                <w:sz w:val="18"/>
              </w:rPr>
              <w:t>新版规范</w:t>
            </w:r>
          </w:p>
        </w:tc>
        <w:tc>
          <w:tcPr>
            <w:tcW w:type="dxa" w:w="2948"/>
            <w:shd w:fill="D9EAF7"/>
          </w:tcPr>
          <w:p>
            <w:r>
              <w:rPr>
                <w:b/>
                <w:sz w:val="18"/>
              </w:rPr>
            </w:r>
            <w:r>
              <w:rPr>
                <w:rFonts w:ascii="Times New Roman" w:hAnsi="Times New Roman" w:eastAsia="宋体"/>
                <w:b/>
                <w:sz w:val="18"/>
              </w:rPr>
              <w:t>实现方式</w:t>
            </w:r>
          </w:p>
        </w:tc>
      </w:tr>
      <w:tr>
        <w:tc>
          <w:tcPr>
            <w:tcW w:type="dxa" w:w="2948"/>
          </w:tcPr>
          <w:p>
            <w:r>
              <w:rPr>
                <w:sz w:val="18"/>
              </w:rPr>
            </w:r>
            <w:r>
              <w:rPr>
                <w:rFonts w:ascii="Times New Roman" w:hAnsi="Times New Roman" w:eastAsia="宋体"/>
                <w:sz w:val="18"/>
              </w:rPr>
              <w:t>文件与网格</w:t>
            </w:r>
          </w:p>
        </w:tc>
        <w:tc>
          <w:tcPr>
            <w:tcW w:type="dxa" w:w="2948"/>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2948"/>
          </w:tcPr>
          <w:p>
            <w:r>
              <w:rPr>
                <w:sz w:val="18"/>
              </w:rPr>
            </w:r>
            <w:r>
              <w:rPr>
                <w:rFonts w:ascii="Times New Roman" w:hAnsi="Times New Roman" w:eastAsia="宋体"/>
                <w:sz w:val="18"/>
              </w:rPr>
              <w:t>NetCDF统一保存数据、坐标与自描述元数据</w:t>
            </w:r>
          </w:p>
        </w:tc>
      </w:tr>
      <w:tr>
        <w:tc>
          <w:tcPr>
            <w:tcW w:type="dxa" w:w="2948"/>
          </w:tcPr>
          <w:p>
            <w:r>
              <w:rPr>
                <w:sz w:val="18"/>
              </w:rPr>
            </w:r>
            <w:r>
              <w:rPr>
                <w:rFonts w:ascii="Times New Roman" w:hAnsi="Times New Roman" w:eastAsia="宋体"/>
                <w:sz w:val="18"/>
              </w:rPr>
              <w:t>维度</w:t>
            </w:r>
          </w:p>
        </w:tc>
        <w:tc>
          <w:tcPr>
            <w:tcW w:type="dxa" w:w="2948"/>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2948"/>
          </w:tcPr>
          <w:p>
            <w:r>
              <w:rPr>
                <w:sz w:val="18"/>
              </w:rPr>
            </w:r>
            <w:r>
              <w:rPr>
                <w:rFonts w:ascii="Times New Roman" w:hAnsi="Times New Roman" w:eastAsia="宋体"/>
                <w:sz w:val="18"/>
              </w:rPr>
              <w:t>通用维度映射将多种源排列转换为统一结构</w:t>
            </w:r>
          </w:p>
        </w:tc>
      </w:tr>
      <w:tr>
        <w:tc>
          <w:tcPr>
            <w:tcW w:type="dxa" w:w="2948"/>
          </w:tcPr>
          <w:p>
            <w:r>
              <w:rPr>
                <w:sz w:val="18"/>
              </w:rPr>
            </w:r>
            <w:r>
              <w:rPr>
                <w:rFonts w:ascii="Times New Roman" w:hAnsi="Times New Roman" w:eastAsia="宋体"/>
                <w:sz w:val="18"/>
              </w:rPr>
              <w:t>坐标方向</w:t>
            </w:r>
          </w:p>
        </w:tc>
        <w:tc>
          <w:tcPr>
            <w:tcW w:type="dxa" w:w="2948"/>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2948"/>
          </w:tcPr>
          <w:p>
            <w:r>
              <w:rPr>
                <w:sz w:val="18"/>
              </w:rPr>
            </w:r>
            <w:r>
              <w:rPr>
                <w:rFonts w:ascii="Times New Roman" w:hAnsi="Times New Roman" w:eastAsia="宋体"/>
                <w:sz w:val="18"/>
              </w:rPr>
              <w:t>翻转和循环平移保持数据与坐标同步</w:t>
            </w:r>
          </w:p>
        </w:tc>
      </w:tr>
      <w:tr>
        <w:tc>
          <w:tcPr>
            <w:tcW w:type="dxa" w:w="2948"/>
          </w:tcPr>
          <w:p>
            <w:r>
              <w:rPr>
                <w:sz w:val="18"/>
              </w:rPr>
            </w:r>
            <w:r>
              <w:rPr>
                <w:rFonts w:ascii="Times New Roman" w:hAnsi="Times New Roman" w:eastAsia="宋体"/>
                <w:sz w:val="18"/>
              </w:rPr>
              <w:t>数据变量</w:t>
            </w:r>
          </w:p>
        </w:tc>
        <w:tc>
          <w:tcPr>
            <w:tcW w:type="dxa" w:w="2948"/>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2948"/>
          </w:tcPr>
          <w:p>
            <w:r>
              <w:rPr>
                <w:sz w:val="18"/>
              </w:rPr>
            </w:r>
            <w:r>
              <w:rPr>
                <w:rFonts w:ascii="Times New Roman" w:hAnsi="Times New Roman" w:eastAsia="宋体"/>
                <w:sz w:val="18"/>
              </w:rPr>
              <w:t>统一变量命名、类型、单位和数值表达</w:t>
            </w:r>
          </w:p>
        </w:tc>
      </w:tr>
      <w:tr>
        <w:tc>
          <w:tcPr>
            <w:tcW w:type="dxa" w:w="2948"/>
          </w:tcPr>
          <w:p>
            <w:r>
              <w:rPr>
                <w:sz w:val="18"/>
              </w:rPr>
            </w:r>
            <w:r>
              <w:rPr>
                <w:rFonts w:ascii="Times New Roman" w:hAnsi="Times New Roman" w:eastAsia="宋体"/>
                <w:sz w:val="18"/>
              </w:rPr>
              <w:t>Gapfill与范围</w:t>
            </w:r>
          </w:p>
        </w:tc>
        <w:tc>
          <w:tcPr>
            <w:tcW w:type="dxa" w:w="2948"/>
          </w:tcPr>
          <w:p>
            <w:r>
              <w:rPr>
                <w:sz w:val="18"/>
              </w:rPr>
            </w:r>
            <w:r>
              <w:rPr>
                <w:rFonts w:ascii="Times New Roman" w:hAnsi="Times New Roman" w:eastAsia="宋体"/>
                <w:sz w:val="18"/>
              </w:rPr>
              <w:t>有效范围、填充值和Gapfill策略由YAML显式声明</w:t>
            </w:r>
          </w:p>
        </w:tc>
        <w:tc>
          <w:tcPr>
            <w:tcW w:type="dxa" w:w="2948"/>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2948"/>
          </w:tcPr>
          <w:p>
            <w:r>
              <w:rPr>
                <w:sz w:val="18"/>
              </w:rPr>
            </w:r>
            <w:r>
              <w:rPr>
                <w:rFonts w:ascii="Times New Roman" w:hAnsi="Times New Roman" w:eastAsia="宋体"/>
                <w:sz w:val="18"/>
              </w:rPr>
              <w:t>变量元数据</w:t>
            </w:r>
          </w:p>
        </w:tc>
        <w:tc>
          <w:tcPr>
            <w:tcW w:type="dxa" w:w="2948"/>
          </w:tcPr>
          <w:p>
            <w:r>
              <w:rPr>
                <w:sz w:val="18"/>
              </w:rPr>
            </w:r>
            <w:r>
              <w:rPr>
                <w:rFonts w:ascii="Consolas" w:hAnsi="Consolas" w:eastAsia="等线"/>
                <w:sz w:val="18"/>
              </w:rPr>
              <w:t>data/std</w:t>
            </w:r>
            <w:r>
              <w:rPr>
                <w:rFonts w:ascii="Times New Roman" w:hAnsi="Times New Roman" w:eastAsia="宋体"/>
                <w:sz w:val="18"/>
              </w:rPr>
              <w:t>记录可读说明、单位及处理变更条目</w:t>
            </w:r>
          </w:p>
        </w:tc>
        <w:tc>
          <w:tcPr>
            <w:tcW w:type="dxa" w:w="2948"/>
          </w:tcPr>
          <w:p>
            <w:r>
              <w:rPr>
                <w:sz w:val="18"/>
              </w:rPr>
            </w:r>
            <w:r>
              <w:rPr>
                <w:rFonts w:ascii="Times New Roman" w:hAnsi="Times New Roman" w:eastAsia="宋体"/>
                <w:sz w:val="18"/>
              </w:rPr>
              <w:t>输出文件保留变量语义与主要转换过程</w:t>
            </w:r>
          </w:p>
        </w:tc>
      </w:tr>
      <w:tr>
        <w:tc>
          <w:tcPr>
            <w:tcW w:type="dxa" w:w="2948"/>
          </w:tcPr>
          <w:p>
            <w:r>
              <w:rPr>
                <w:sz w:val="18"/>
              </w:rPr>
            </w:r>
            <w:r>
              <w:rPr>
                <w:rFonts w:ascii="Times New Roman" w:hAnsi="Times New Roman" w:eastAsia="宋体"/>
                <w:sz w:val="18"/>
              </w:rPr>
              <w:t>处理记录</w:t>
            </w:r>
          </w:p>
        </w:tc>
        <w:tc>
          <w:tcPr>
            <w:tcW w:type="dxa" w:w="2948"/>
          </w:tcPr>
          <w:p>
            <w:r>
              <w:rPr>
                <w:sz w:val="18"/>
              </w:rPr>
            </w:r>
            <w:r>
              <w:rPr>
                <w:rFonts w:ascii="Times New Roman" w:hAnsi="Times New Roman" w:eastAsia="宋体"/>
                <w:sz w:val="18"/>
              </w:rPr>
              <w:t>YAML声明维度、坐标、数值与Gapfill规则；NetCDF属性写入逐项变更记录</w:t>
            </w:r>
          </w:p>
        </w:tc>
        <w:tc>
          <w:tcPr>
            <w:tcW w:type="dxa" w:w="2948"/>
          </w:tcPr>
          <w:p>
            <w:r>
              <w:rPr>
                <w:sz w:val="18"/>
              </w:rPr>
            </w:r>
            <w:r>
              <w:rPr>
                <w:rFonts w:ascii="Times New Roman" w:hAnsi="Times New Roman" w:eastAsia="宋体"/>
                <w:sz w:val="18"/>
              </w:rPr>
              <w:t>配置意图与产品处理历史相互对应</w:t>
            </w:r>
          </w:p>
        </w:tc>
      </w:tr>
      <w:tr>
        <w:tc>
          <w:tcPr>
            <w:tcW w:type="dxa" w:w="2948"/>
          </w:tcPr>
          <w:p>
            <w:r>
              <w:rPr>
                <w:sz w:val="18"/>
              </w:rPr>
            </w:r>
            <w:r>
              <w:rPr>
                <w:rFonts w:ascii="Times New Roman" w:hAnsi="Times New Roman" w:eastAsia="宋体"/>
                <w:sz w:val="18"/>
              </w:rPr>
              <w:t>处理复现</w:t>
            </w:r>
          </w:p>
        </w:tc>
        <w:tc>
          <w:tcPr>
            <w:tcW w:type="dxa" w:w="2948"/>
          </w:tcPr>
          <w:p>
            <w:r>
              <w:rPr>
                <w:sz w:val="18"/>
              </w:rPr>
            </w:r>
            <w:r>
              <w:rPr>
                <w:rFonts w:ascii="Consolas" w:hAnsi="Consolas" w:eastAsia="等线"/>
                <w:sz w:val="18"/>
              </w:rPr>
              <w:t>SCHEMA_VERSION</w:t>
            </w:r>
            <w:r>
              <w:rPr>
                <w:rFonts w:ascii="Times New Roman" w:hAnsi="Times New Roman" w:eastAsia="宋体"/>
                <w:sz w:val="18"/>
              </w:rPr>
              <w:t>、完整YAML、固定输入和版本化项目环境共同归档</w:t>
            </w:r>
          </w:p>
        </w:tc>
        <w:tc>
          <w:tcPr>
            <w:tcW w:type="dxa" w:w="2948"/>
          </w:tcPr>
          <w:p>
            <w:r>
              <w:rPr>
                <w:sz w:val="18"/>
              </w:rPr>
            </w:r>
            <w:r>
              <w:rPr>
                <w:rFonts w:ascii="Times New Roman" w:hAnsi="Times New Roman" w:eastAsia="宋体"/>
                <w:sz w:val="18"/>
              </w:rPr>
              <w:t>配置、输入与代码版本共同重建标准产品</w:t>
            </w:r>
          </w:p>
        </w:tc>
      </w:tr>
      <w:tr>
        <w:tc>
          <w:tcPr>
            <w:tcW w:type="dxa" w:w="2948"/>
          </w:tcPr>
          <w:p>
            <w:r>
              <w:rPr>
                <w:sz w:val="18"/>
              </w:rPr>
            </w:r>
            <w:r>
              <w:rPr>
                <w:rFonts w:ascii="Times New Roman" w:hAnsi="Times New Roman" w:eastAsia="宋体"/>
                <w:sz w:val="18"/>
              </w:rPr>
              <w:t>标签与版本</w:t>
            </w:r>
          </w:p>
        </w:tc>
        <w:tc>
          <w:tcPr>
            <w:tcW w:type="dxa" w:w="2948"/>
          </w:tcPr>
          <w:p>
            <w:r>
              <w:rPr>
                <w:sz w:val="18"/>
              </w:rPr>
            </w:r>
            <w:r>
              <w:rPr>
                <w:rFonts w:ascii="Times New Roman" w:hAnsi="Times New Roman" w:eastAsia="宋体"/>
                <w:sz w:val="18"/>
              </w:rPr>
              <w:t>标签表达类别、空间/时间分辨率、年份、版本和可选修订号</w:t>
            </w:r>
          </w:p>
        </w:tc>
        <w:tc>
          <w:tcPr>
            <w:tcW w:type="dxa" w:w="2948"/>
          </w:tcPr>
          <w:p>
            <w:r>
              <w:rPr>
                <w:sz w:val="18"/>
              </w:rPr>
            </w:r>
            <w:r>
              <w:rPr>
                <w:rFonts w:ascii="Times New Roman" w:hAnsi="Times New Roman" w:eastAsia="宋体"/>
                <w:sz w:val="18"/>
              </w:rPr>
              <w:t>标签与文件名共同形成稳定产品标识</w:t>
            </w:r>
          </w:p>
        </w:tc>
      </w:tr>
      <w:tr>
        <w:tc>
          <w:tcPr>
            <w:tcW w:type="dxa" w:w="2948"/>
          </w:tcPr>
          <w:p>
            <w:r>
              <w:rPr>
                <w:sz w:val="18"/>
              </w:rPr>
            </w:r>
            <w:r>
              <w:rPr>
                <w:rFonts w:ascii="Times New Roman" w:hAnsi="Times New Roman" w:eastAsia="宋体"/>
                <w:sz w:val="18"/>
              </w:rPr>
              <w:t>分发完整性</w:t>
            </w:r>
          </w:p>
        </w:tc>
        <w:tc>
          <w:tcPr>
            <w:tcW w:type="dxa" w:w="2948"/>
          </w:tcPr>
          <w:p>
            <w:r>
              <w:rPr>
                <w:sz w:val="18"/>
              </w:rPr>
            </w:r>
            <w:r>
              <w:rPr>
                <w:rFonts w:ascii="Times New Roman" w:hAnsi="Times New Roman" w:eastAsia="宋体"/>
                <w:sz w:val="18"/>
              </w:rPr>
              <w:t>新登记或严格完整性条目记录文件字节数和SHA-256；同一标签的受控镜像指向相同内容</w:t>
            </w:r>
          </w:p>
        </w:tc>
        <w:tc>
          <w:tcPr>
            <w:tcW w:type="dxa" w:w="2948"/>
          </w:tcPr>
          <w:p>
            <w:r>
              <w:rPr>
                <w:sz w:val="18"/>
              </w:rPr>
            </w:r>
            <w:r>
              <w:rPr>
                <w:rFonts w:ascii="Times New Roman" w:hAnsi="Times New Roman" w:eastAsia="宋体"/>
                <w:sz w:val="18"/>
              </w:rPr>
              <w:t>对带完整性元数据的条目下载后核验并以事务方式进入正式目录；历史条目由兼容模式承接</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显式记录源变量各维度语义，维度标准化过程将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YAML配置与转换示例</w:t>
      </w:r>
    </w:p>
    <w:p>
      <w:r>
        <w:rPr>
          <w:rFonts w:ascii="Times New Roman" w:hAnsi="Times New Roman" w:eastAsia="宋体"/>
        </w:rPr>
        <w:t>YAML将数据源差异与通用处理代码分离。配置以</w:t>
      </w:r>
      <w:r>
        <w:rPr>
          <w:rFonts w:ascii="Consolas" w:hAnsi="Consolas" w:eastAsia="等线"/>
        </w:rPr>
        <w:t>FILE</w:t>
      </w:r>
      <w:r>
        <w:rPr>
          <w:rFonts w:ascii="Times New Roman" w:hAnsi="Times New Roman" w:eastAsia="宋体"/>
        </w:rPr>
        <w:t>、</w:t>
      </w:r>
      <w:r>
        <w:rPr>
          <w:rFonts w:ascii="Consolas" w:hAnsi="Consolas" w:eastAsia="等线"/>
        </w:rPr>
        <w:t>FOLDER</w:t>
      </w:r>
      <w:r>
        <w:rPr>
          <w:rFonts w:ascii="Times New Roman" w:hAnsi="Times New Roman" w:eastAsia="宋体"/>
        </w:rPr>
        <w:t>、</w:t>
      </w:r>
      <w:r>
        <w:rPr>
          <w:rFonts w:ascii="Consolas" w:hAnsi="Consolas" w:eastAsia="等线"/>
        </w:rPr>
        <w:t>DATA</w:t>
      </w:r>
      <w:r>
        <w:rPr>
          <w:rFonts w:ascii="Times New Roman" w:hAnsi="Times New Roman" w:eastAsia="宋体"/>
        </w:rPr>
        <w:t>（及可选</w:t>
      </w:r>
      <w:r>
        <w:rPr>
          <w:rFonts w:ascii="Consolas" w:hAnsi="Consolas" w:eastAsia="等线"/>
        </w:rPr>
        <w:t>STD</w:t>
      </w:r>
      <w:r>
        <w:rPr>
          <w:rFonts w:ascii="Times New Roman" w:hAnsi="Times New Roman" w:eastAsia="宋体"/>
        </w:rPr>
        <w:t>）和</w:t>
      </w:r>
      <w:r>
        <w:rPr>
          <w:rFonts w:ascii="Consolas" w:hAnsi="Consolas" w:eastAsia="等线"/>
        </w:rPr>
        <w:t>GRIDDINGMACHINE</w:t>
      </w:r>
      <w:r>
        <w:rPr>
          <w:rFonts w:ascii="Times New Roman" w:hAnsi="Times New Roman" w:eastAsia="宋体"/>
        </w:rPr>
        <w:t>组织文件组合、输入输出位置、变量语义与转换规则以及稳定标签，并通过</w:t>
      </w:r>
      <w:r>
        <w:rPr>
          <w:rFonts w:ascii="Consolas" w:hAnsi="Consolas" w:eastAsia="等线"/>
        </w:rPr>
        <w:t>SCHEMA_VERSION</w:t>
      </w:r>
      <w:r>
        <w:rPr>
          <w:rFonts w:ascii="Times New Roman" w:hAnsi="Times New Roman" w:eastAsia="宋体"/>
        </w:rPr>
        <w:t>约束字段类型、必需项、默认值、互斥关系和数组长度一致性。</w:t>
      </w:r>
      <w:r>
        <w:rPr>
          <w:rFonts w:ascii="Consolas" w:hAnsi="Consolas" w:eastAsia="等线"/>
        </w:rPr>
        <w:t>DIMENSIONS</w:t>
      </w:r>
      <w:r>
        <w:rPr>
          <w:rFonts w:ascii="Times New Roman" w:hAnsi="Times New Roman" w:eastAsia="宋体"/>
        </w:rPr>
        <w:t>显式记录源变量的维度语义，</w:t>
      </w:r>
      <w:r>
        <w:rPr>
          <w:rFonts w:ascii="Consolas" w:hAnsi="Consolas" w:eastAsia="等线"/>
        </w:rPr>
        <w:t>GAPFILL</w:t>
      </w:r>
      <w:r>
        <w:rPr>
          <w:rFonts w:ascii="Times New Roman" w:hAnsi="Times New Roman" w:eastAsia="宋体"/>
        </w:rPr>
        <w:t>、坐标方向、数值范围和缩放规则在数据读取前完成解析；配置构建器与生产流水线调用同一规范。</w:t>
      </w:r>
    </w:p>
    <w:p>
      <w:r>
        <w:rPr>
          <w:rFonts w:ascii="Times New Roman" w:hAnsi="Times New Roman" w:eastAsia="宋体"/>
        </w:rPr>
        <w:t>受控二维示例采用</w:t>
      </w:r>
      <w:r>
        <w:rPr>
          <w:rFonts w:ascii="Consolas" w:hAnsi="Consolas" w:eastAsia="等线"/>
        </w:rPr>
        <w:t>(lat, lon)</w:t>
      </w:r>
      <w:r>
        <w:rPr>
          <w:rFonts w:ascii="Times New Roman" w:hAnsi="Times New Roman" w:eastAsia="宋体"/>
        </w:rPr>
        <w:t>源维度排列，纬度按北向南排列，经度范围为</w:t>
      </w:r>
      <w:r>
        <w:rPr>
          <w:rFonts w:ascii="Consolas" w:hAnsi="Consolas" w:eastAsia="等线"/>
        </w:rPr>
        <w:t>0°～360°</w:t>
      </w:r>
      <w:r>
        <w:rPr>
          <w:rFonts w:ascii="Times New Roman" w:hAnsi="Times New Roman" w:eastAsia="宋体"/>
        </w:rPr>
        <w:t>。配置文件显式声明源维度语义、纬度方向转换、经度范围转换和线性数值变换，生产流水线据此生成标准</w:t>
      </w:r>
      <w:r>
        <w:rPr>
          <w:rFonts w:ascii="Consolas" w:hAnsi="Consolas" w:eastAsia="等线"/>
        </w:rPr>
        <w:t>(lon, lat)</w:t>
      </w:r>
      <w:r>
        <w:rPr>
          <w:rFonts w:ascii="Times New Roman" w:hAnsi="Times New Roman" w:eastAsia="宋体"/>
        </w:rPr>
        <w:t>产品。输出坐标和数值与独立构造的参考数组逐点一致，用于验证配置声明能够被正确映射为标准化处理过程。完整YAML配置、字段说明、执行命令和目录结构列于补充材料S3及版本化贡献指南。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宋体"/>
        </w:rPr>
        <w:t>框架同时提供程序化和本地交互式配置生成方式。二者输出均经同一配置规范校验后进入</w:t>
      </w:r>
      <w:r>
        <w:rPr>
          <w:rFonts w:ascii="Consolas" w:hAnsi="Consolas" w:eastAsia="等线"/>
        </w:rPr>
        <w:t>process_dataset!</w:t>
      </w:r>
      <w:r>
        <w:rPr>
          <w:rFonts w:ascii="Times New Roman" w:hAnsi="Times New Roman" w:eastAsia="宋体"/>
        </w:rPr>
        <w:t>，使数据贡献入口与生产流水线共享一致的字段语义。</w:t>
      </w:r>
    </w:p>
    <w:p>
      <w:pPr>
        <w:pStyle w:val="Heading3"/>
      </w:pPr>
      <w:r>
        <w:rPr>
          <w:rFonts w:ascii="Times New Roman" w:hAnsi="Times New Roman" w:eastAsia="宋体"/>
        </w:rPr>
        <w:t>2.2.3 生产流程与质量控制</w:t>
      </w:r>
    </w:p>
    <w:p>
      <w:r>
        <w:rPr>
          <w:rFonts w:ascii="Times New Roman" w:hAnsi="Times New Roman" w:eastAsia="宋体"/>
        </w:rPr>
        <w:t>标准产品生产引擎首先根据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的循环平移、线性缩放、有效范围过滤和缺失值处理。各项转换追加为NetCDF变量属性中的变更记录；研究材料进一步将完整YAML、固定输入和版本化项目环境与输出产品共同归档。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生成唯一文件名。文件级变更记录与发布级配置、输入和软件环境共同构成双层复现链，连接产品内容与其生成上下文。</w:t>
      </w:r>
    </w:p>
    <w:p>
      <w:r>
        <w:rPr>
          <w:rFonts w:ascii="Times New Roman" w:hAnsi="Times New Roman" w:eastAsia="宋体"/>
        </w:rPr>
        <w:t>空间方向检查依据变量维度生成带经纬度坐标轴的审核图，人工确认与自动结构、坐标和逐点数值检查相互补充；</w:t>
      </w:r>
      <w:r>
        <w:rPr>
          <w:rFonts w:ascii="Consolas" w:hAnsi="Consolas" w:eastAsia="等线"/>
        </w:rPr>
        <w:t>VERIFY_ONCE</w:t>
      </w:r>
      <w:r>
        <w:rPr>
          <w:rFonts w:ascii="Times New Roman" w:hAnsi="Times New Roman" w:eastAsia="宋体"/>
        </w:rPr>
        <w:t>用于记录同一配置组合的首次方向确认。成品质量检查进一步核对</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及可选</w:t>
      </w:r>
      <w:r>
        <w:rPr>
          <w:rFonts w:ascii="Consolas" w:hAnsi="Consolas" w:eastAsia="等线"/>
        </w:rPr>
        <w:t>ind</w:t>
      </w:r>
      <w:r>
        <w:rPr>
          <w:rFonts w:ascii="Times New Roman" w:hAnsi="Times New Roman" w:eastAsia="宋体"/>
        </w:rPr>
        <w:t>维度、主变量</w:t>
      </w:r>
      <w:r>
        <w:rPr>
          <w:rFonts w:ascii="Consolas" w:hAnsi="Consolas" w:eastAsia="等线"/>
        </w:rPr>
        <w:t>data</w:t>
      </w:r>
      <w:r>
        <w:rPr>
          <w:rFonts w:ascii="Times New Roman" w:hAnsi="Times New Roman" w:eastAsia="宋体"/>
        </w:rPr>
        <w:t>、数值范围和缺失值状态。对于标准支持分辨率，陆地区域完整性通过重采样</w:t>
      </w:r>
      <w:r>
        <w:rPr>
          <w:rFonts w:ascii="Consolas" w:hAnsi="Consolas" w:eastAsia="等线"/>
        </w:rPr>
        <w:t>LM_4X_1Y_V1</w:t>
      </w:r>
      <w:r>
        <w:rPr>
          <w:rFonts w:ascii="Times New Roman" w:hAnsi="Times New Roman" w:eastAsia="宋体"/>
        </w:rPr>
        <w:t>掩膜检查；其他分辨率由专用规则承接。由此，生产阶段的变换记录、自动判据和必要的空间方向审核共同构成标准产品质量控制。</w:t>
      </w:r>
    </w:p>
    <w:p>
      <w:pPr>
        <w:pStyle w:val="Heading2"/>
      </w:pPr>
      <w:r>
        <w:rPr>
          <w:rFonts w:ascii="Times New Roman" w:hAnsi="Times New Roman" w:eastAsia="宋体"/>
        </w:rPr>
        <w:t>2.3 独立数据目录与事务式多镜像分发</w:t>
      </w:r>
    </w:p>
    <w:p>
      <w:r>
        <w:rPr>
          <w:rFonts w:ascii="Times New Roman" w:hAnsi="Times New Roman" w:eastAsia="宋体"/>
        </w:rPr>
        <w:t>标准产品标签由类别、可选前缀、空间分辨率、时间分辨率、可选年份、数据版本和可选修订号构成，基本形式为</w:t>
      </w:r>
      <w:r>
        <w:rPr>
          <w:rFonts w:ascii="Consolas" w:hAnsi="Consolas" w:eastAsia="等线"/>
        </w:rPr>
        <w:t>TAG_(PREFIX_)NX_MT_(YYYY_)VV(_REVISION)</w:t>
      </w:r>
      <w:r>
        <w:rPr>
          <w:rFonts w:ascii="Times New Roman" w:hAnsi="Times New Roman" w:eastAsia="宋体"/>
        </w:rPr>
        <w:t>。数据发布与目录登记相互解耦：维护者可将标准NetCDF发布到机构FTP、HTTP(S)或公共存储，目录生成器根据本地权威文件和公开地址生成逻辑路径、去重镜像列表，并对新登记或需要严格完整性管理的条目计算文件字节数和SHA-256。目录通过临时文件写入和替换，使产品列表、镜像位置和完整性元数据能够独立于访问软件版本更新。</w:t>
      </w:r>
    </w:p>
    <w:p>
      <w:r>
        <w:rPr>
          <w:rFonts w:ascii="Consolas" w:hAnsi="Consolas" w:eastAsia="等线"/>
        </w:rPr>
        <w:t>GriddingMachine.jl</w:t>
      </w:r>
      <w:r>
        <w:rPr>
          <w:rFonts w:ascii="Times New Roman" w:hAnsi="Times New Roman" w:eastAsia="宋体"/>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以及可选的</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。严格完整性模式要求后两项同时存在，兼容模式保持历史条目的标签访问；目录规范和获取逻辑对多URL与完整性字段采用统一表达。</w:t>
      </w:r>
    </w:p>
    <w:p>
      <w:r>
        <w:rPr>
          <w:rFonts w:ascii="Times New Roman" w:hAnsi="Times New Roman" w:eastAsia="宋体"/>
        </w:rPr>
        <w:t>产品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产品。全库同步、状态查询和历史数据整理复用相同目录与获取逻辑。</w:t>
      </w:r>
    </w:p>
    <w:p>
      <w:r>
        <w:rPr>
          <w:rFonts w:ascii="Times New Roman" w:hAnsi="Times New Roman" w:eastAsia="宋体"/>
        </w:rPr>
        <w:t>这一设计将镜像选择与内容完整性判定分离：镜像和延迟信息用于组织候选顺序与回退，目录中的标准产品标识与完整性字段用于内容核验。多镜像实验选取已配置多个镜像和完整性元数据的代表性产品，综合评价候选遍历、内容核验和事务式落盘机制；相关接口、状态恢复流程和目录条目示例见补充材料。</w:t>
      </w:r>
    </w:p>
    <w:p>
      <w:pPr>
        <w:pStyle w:val="Heading2"/>
      </w:pPr>
      <w:r>
        <w:rPr>
          <w:rFonts w:ascii="Times New Roman" w:hAnsi="Times New Roman" w:eastAsia="宋体"/>
        </w:rPr>
        <w:t>2.4 统一读取与模式输入组织</w:t>
      </w:r>
    </w:p>
    <w:p>
      <w:pPr>
        <w:pStyle w:val="Heading3"/>
      </w:pPr>
      <w:r>
        <w:rPr>
          <w:rFonts w:ascii="Times New Roman" w:hAnsi="Times New Roman" w:eastAsia="宋体"/>
        </w:rPr>
        <w:t>2.4.1 标准网格数据读取</w:t>
      </w:r>
    </w:p>
    <w:p>
      <w:r>
        <w:rPr>
          <w:rFonts w:ascii="Times New Roman" w:hAnsi="Times New Roman" w:eastAsia="宋体"/>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等线"/>
        </w:rPr>
        <w:t>data</w:t>
      </w:r>
      <w:r>
        <w:rPr>
          <w:rFonts w:ascii="Times New Roman" w:hAnsi="Times New Roman" w:eastAsia="宋体"/>
        </w:rPr>
        <w:t>，也可读取原始数值或同形不确定性变量</w:t>
      </w:r>
      <w:r>
        <w:rPr>
          <w:rFonts w:ascii="Consolas" w:hAnsi="Consolas" w:eastAsia="等线"/>
        </w:rPr>
        <w:t>std</w:t>
      </w:r>
      <w:r>
        <w:rPr>
          <w:rFonts w:ascii="Times New Roman" w:hAnsi="Times New Roman" w:eastAsia="宋体"/>
        </w:rPr>
        <w:t>。模式输入组织层直接继承数据生产与标准化层统一的单位、缺失值和物理范围，使处理规则集中于共享生产契约，并兼容既有读取方式。</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宋体"/>
        </w:rPr>
        <w:t>2.4.2 模型参数与气象驱动组织</w:t>
      </w:r>
    </w:p>
    <w:p>
      <w:r>
        <w:rPr>
          <w:rFonts w:ascii="Times New Roman" w:hAnsi="Times New Roman" w:eastAsia="宋体"/>
        </w:rPr>
        <w:t>格点尺度陆面参数组织接口从预定义产品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等线"/>
        </w:rPr>
        <w:t>gm2</w:t>
      </w:r>
      <w:r>
        <w:rPr>
          <w:rFonts w:ascii="Times New Roman" w:hAnsi="Times New Roman" w:eastAsia="宋体"/>
        </w:rPr>
        <w:t>由14类标准产品组成，其中冠层聚集度采用月尺度产品，其余字段按各自空间与时间分辨率进入统一格点。</w:t>
      </w:r>
    </w:p>
    <w:p>
      <w:r>
        <w:rPr>
          <w:rFonts w:ascii="Times New Roman" w:hAnsi="Times New Roman" w:eastAsia="宋体"/>
        </w:rPr>
        <w:t>植物功能型比例进一步用于融合C3/C4植被的叶片光学参数和Medlyn气孔参数，并由</w:t>
      </w:r>
      <w:r>
        <w:rPr>
          <w:rFonts w:ascii="Consolas" w:hAnsi="Consolas" w:eastAsia="等线"/>
        </w:rPr>
        <w:t>VCMAX25</w:t>
      </w:r>
      <w:r>
        <w:rPr>
          <w:rFonts w:ascii="Times New Roman" w:hAnsi="Times New Roman" w:eastAsia="宋体"/>
        </w:rPr>
        <w:t>推导</w:t>
      </w:r>
      <w:r>
        <w:rPr>
          <w:rFonts w:ascii="Consolas" w:hAnsi="Consolas" w:eastAsia="等线"/>
        </w:rPr>
        <w:t>JMAX25</w:t>
      </w:r>
      <w:r>
        <w:rPr>
          <w:rFonts w:ascii="Times New Roman" w:hAnsi="Times New Roman" w:eastAsia="宋体"/>
        </w:rPr>
        <w:t>和</w:t>
      </w:r>
      <w:r>
        <w:rPr>
          <w:rFonts w:ascii="Consolas" w:hAnsi="Consolas" w:eastAsia="等线"/>
        </w:rPr>
        <w:t>B6F</w:t>
      </w:r>
      <w:r>
        <w:rPr>
          <w:rFonts w:ascii="Times New Roman" w:hAnsi="Times New Roman" w:eastAsia="宋体"/>
        </w:rPr>
        <w:t>。输出涵盖位置、分辨率、年份、CO₂、土壤水力性质、冠层结构、植物功能型组成、叶片生物物理和光合参数；字段完整性与</w:t>
      </w:r>
      <w:r>
        <w:rPr>
          <w:rFonts w:ascii="Consolas" w:hAnsi="Consolas" w:eastAsia="等线"/>
        </w:rPr>
        <w:t>NaN</w:t>
      </w:r>
      <w:r>
        <w:rPr>
          <w:rFonts w:ascii="Times New Roman" w:hAnsi="Times New Roman" w:eastAsia="宋体"/>
        </w:rPr>
        <w:t>状态同步进入质量控制。多个标准产品由此形成结构一致的格点级模式输入。</w:t>
      </w:r>
    </w:p>
    <w:p>
      <w:r>
        <w:rPr>
          <w:rFonts w:ascii="Times New Roman" w:hAnsi="Times New Roman" w:eastAsia="宋体"/>
        </w:rPr>
        <w:t>格点尺度气象驱动接口按年份和格点读取气象驱动集合</w:t>
      </w:r>
      <w:r>
        <w:rPr>
          <w:rFonts w:ascii="Consolas" w:hAnsi="Consolas" w:eastAsia="等线"/>
        </w:rPr>
        <w:t>wd1</w:t>
      </w:r>
      <w:r>
        <w:rPr>
          <w:rFonts w:ascii="Times New Roman" w:hAnsi="Times New Roman" w:eastAsia="宋体"/>
        </w:rPr>
        <w:t>中的8类ERA5产品，分别提取地表气压、降水、漫射与直射短波辐射、长波辐射、气温、水汽压亏缺和风速，并依据格点经度换算时区偏移、构建浮点年积日</w:t>
      </w:r>
      <w:r>
        <w:rPr>
          <w:rFonts w:ascii="Consolas" w:hAnsi="Consolas" w:eastAsia="等线"/>
        </w:rPr>
        <w:t>FDOY</w:t>
      </w:r>
      <w:r>
        <w:rPr>
          <w:rFonts w:ascii="Times New Roman" w:hAnsi="Times New Roman" w:eastAsia="宋体"/>
        </w:rPr>
        <w:t>。接口既可直接按经纬度读取，也可从已经加载的全局气象数组提取格点序列，输出字段完整性与</w:t>
      </w:r>
      <w:r>
        <w:rPr>
          <w:rFonts w:ascii="Consolas" w:hAnsi="Consolas" w:eastAsia="等线"/>
        </w:rPr>
        <w:t>NaN</w:t>
      </w:r>
      <w:r>
        <w:rPr>
          <w:rFonts w:ascii="Times New Roman" w:hAnsi="Times New Roman" w:eastAsia="宋体"/>
        </w:rPr>
        <w:t>状态同步进入质量控制。</w:t>
      </w:r>
    </w:p>
    <w:p>
      <w:r>
        <w:rPr>
          <w:rFonts w:ascii="Times New Roman" w:hAnsi="Times New Roman" w:eastAsia="宋体"/>
        </w:rPr>
        <w:t>标签驱动的数据访问、陆面参数融合与气象驱动组织共同构成模式输入组织层。本文将“模型就绪”具体界定为：标准产品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产品，经镜像获取，并在目录提供完整性元数据时执行内容核验，再读取整场、周期或格点数据，并形成陆面参数或气象驱动；具体公共接口、调用参数和完整Julia示例列入补充材料与版本化用户指南。</w:t>
      </w:r>
    </w:p>
    <w:p>
      <w:pPr>
        <w:pStyle w:val="Heading1"/>
      </w:pPr>
      <w:r>
        <w:rPr>
          <w:rFonts w:ascii="Times New Roman" w:hAnsi="Times New Roman" w:eastAsia="宋体"/>
        </w:rPr>
        <w:t>3 应用案例与评价方法</w:t>
      </w:r>
    </w:p>
    <w:p>
      <w:r>
        <w:rPr>
          <w:rFonts w:ascii="Times New Roman" w:hAnsi="Times New Roman" w:eastAsia="宋体"/>
        </w:rPr>
        <w:t>表3按照受控实验、真实数据和真实网络应用组织全文证据，并列出各项核心贡献对应的主要评价指标。跨操作系统持续集成作为横向维度，贯穿生产、分发和模型接口的确定性核心路径。</w:t>
      </w:r>
    </w:p>
    <w:p>
      <w:pPr>
        <w:ind w:firstLine="0"/>
      </w:pPr>
      <w:r>
        <w:rPr>
          <w:rFonts w:ascii="Times New Roman" w:hAnsi="Times New Roman" w:eastAsia="宋体"/>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宋体"/>
                <w:b/>
                <w:sz w:val="18"/>
              </w:rPr>
              <w:t>核心贡献</w:t>
            </w:r>
          </w:p>
        </w:tc>
        <w:tc>
          <w:tcPr>
            <w:tcW w:type="dxa" w:w="2211"/>
            <w:shd w:fill="D9EAF7"/>
          </w:tcPr>
          <w:p>
            <w:r>
              <w:rPr>
                <w:b/>
                <w:sz w:val="18"/>
              </w:rPr>
            </w:r>
            <w:r>
              <w:rPr>
                <w:rFonts w:ascii="Times New Roman" w:hAnsi="Times New Roman" w:eastAsia="宋体"/>
                <w:b/>
                <w:sz w:val="18"/>
              </w:rPr>
              <w:t>受控或确定性证据</w:t>
            </w:r>
          </w:p>
        </w:tc>
        <w:tc>
          <w:tcPr>
            <w:tcW w:type="dxa" w:w="2211"/>
            <w:shd w:fill="D9EAF7"/>
          </w:tcPr>
          <w:p>
            <w:r>
              <w:rPr>
                <w:b/>
                <w:sz w:val="18"/>
              </w:rPr>
            </w:r>
            <w:r>
              <w:rPr>
                <w:rFonts w:ascii="Times New Roman" w:hAnsi="Times New Roman" w:eastAsia="宋体"/>
                <w:b/>
                <w:sz w:val="18"/>
              </w:rPr>
              <w:t>真实数据/网络应用</w:t>
            </w:r>
          </w:p>
        </w:tc>
        <w:tc>
          <w:tcPr>
            <w:tcW w:type="dxa" w:w="2211"/>
            <w:shd w:fill="D9EAF7"/>
          </w:tcPr>
          <w:p>
            <w:r>
              <w:rPr>
                <w:b/>
                <w:sz w:val="18"/>
              </w:rPr>
            </w:r>
            <w:r>
              <w:rPr>
                <w:rFonts w:ascii="Times New Roman" w:hAnsi="Times New Roman" w:eastAsia="宋体"/>
                <w:b/>
                <w:sz w:val="18"/>
              </w:rPr>
              <w:t>主要评价指标</w:t>
            </w:r>
          </w:p>
        </w:tc>
      </w:tr>
      <w:tr>
        <w:tc>
          <w:tcPr>
            <w:tcW w:type="dxa" w:w="2211"/>
          </w:tcPr>
          <w:p>
            <w:r>
              <w:rPr>
                <w:sz w:val="18"/>
              </w:rPr>
            </w:r>
            <w:r>
              <w:rPr>
                <w:rFonts w:ascii="Times New Roman" w:hAnsi="Times New Roman" w:eastAsia="宋体"/>
                <w:sz w:val="18"/>
              </w:rPr>
              <w:t>数据生产与标准化层将异构源数据转换为标准NetCDF</w:t>
            </w:r>
          </w:p>
        </w:tc>
        <w:tc>
          <w:tcPr>
            <w:tcW w:type="dxa" w:w="2211"/>
          </w:tcPr>
          <w:p>
            <w:r>
              <w:rPr>
                <w:sz w:val="18"/>
              </w:rPr>
            </w:r>
            <w:r>
              <w:rPr>
                <w:rFonts w:ascii="Times New Roman" w:hAnsi="Times New Roman" w:eastAsia="宋体"/>
                <w:sz w:val="18"/>
              </w:rPr>
              <w:t>31组受控实例、ELEV重复生产与逐点核对</w:t>
            </w:r>
          </w:p>
        </w:tc>
        <w:tc>
          <w:tcPr>
            <w:tcW w:type="dxa" w:w="2211"/>
          </w:tcPr>
          <w:p>
            <w:r>
              <w:rPr>
                <w:sz w:val="18"/>
              </w:rPr>
            </w:r>
            <w:r>
              <w:rPr>
                <w:rFonts w:ascii="Times New Roman" w:hAnsi="Times New Roman" w:eastAsia="宋体"/>
                <w:sz w:val="18"/>
              </w:rPr>
              <w:t>OISST V2.1真实异构源数据</w:t>
            </w:r>
          </w:p>
        </w:tc>
        <w:tc>
          <w:tcPr>
            <w:tcW w:type="dxa" w:w="2211"/>
          </w:tcPr>
          <w:p>
            <w:r>
              <w:rPr>
                <w:sz w:val="18"/>
              </w:rPr>
            </w:r>
            <w:r>
              <w:rPr>
                <w:rFonts w:ascii="Times New Roman" w:hAnsi="Times New Roman" w:eastAsia="宋体"/>
                <w:sz w:val="18"/>
              </w:rPr>
              <w:t>维度与坐标、有效值掩膜、逐点物理值、重复生成摘要</w:t>
            </w:r>
          </w:p>
        </w:tc>
      </w:tr>
      <w:tr>
        <w:tc>
          <w:tcPr>
            <w:tcW w:type="dxa" w:w="2211"/>
          </w:tcPr>
          <w:p>
            <w:r>
              <w:rPr>
                <w:sz w:val="18"/>
              </w:rPr>
            </w:r>
            <w:r>
              <w:rPr>
                <w:rFonts w:ascii="Times New Roman" w:hAnsi="Times New Roman" w:eastAsia="宋体"/>
                <w:sz w:val="18"/>
              </w:rPr>
              <w:t>数据目录与可信分发层组织高效且内容可核验的数据获取</w:t>
            </w:r>
          </w:p>
        </w:tc>
        <w:tc>
          <w:tcPr>
            <w:tcW w:type="dxa" w:w="2211"/>
          </w:tcPr>
          <w:p>
            <w:r>
              <w:rPr>
                <w:sz w:val="18"/>
              </w:rPr>
            </w:r>
            <w:r>
              <w:rPr>
                <w:rFonts w:ascii="Times New Roman" w:hAnsi="Times New Roman" w:eastAsia="宋体"/>
                <w:sz w:val="18"/>
              </w:rPr>
              <w:t>ELEV/LAI回环HTTP对照；13类受控状态场景</w:t>
            </w:r>
          </w:p>
        </w:tc>
        <w:tc>
          <w:tcPr>
            <w:tcW w:type="dxa" w:w="2211"/>
          </w:tcPr>
          <w:p>
            <w:r>
              <w:rPr>
                <w:sz w:val="18"/>
              </w:rPr>
            </w:r>
            <w:r>
              <w:rPr>
                <w:rFonts w:ascii="Times New Roman" w:hAnsi="Times New Roman" w:eastAsia="宋体"/>
                <w:sz w:val="18"/>
              </w:rPr>
              <w:t>Zenodo公共网络记录；校园网FTP—Zenodo同文件获取</w:t>
            </w:r>
          </w:p>
        </w:tc>
        <w:tc>
          <w:tcPr>
            <w:tcW w:type="dxa" w:w="2211"/>
          </w:tcPr>
          <w:p>
            <w:r>
              <w:rPr>
                <w:sz w:val="18"/>
              </w:rPr>
            </w:r>
            <w:r>
              <w:rPr>
                <w:rFonts w:ascii="Times New Roman" w:hAnsi="Times New Roman" w:eastAsia="宋体"/>
                <w:sz w:val="18"/>
              </w:rPr>
              <w:t>端到端时间、传输字节、候选遍历、</w:t>
            </w:r>
            <w:r>
              <w:rPr>
                <w:rFonts w:ascii="Consolas" w:hAnsi="Consolas" w:eastAsia="等线"/>
                <w:sz w:val="18"/>
              </w:rPr>
              <w:t>SIZE</w:t>
            </w:r>
            <w:r>
              <w:rPr>
                <w:rFonts w:ascii="Times New Roman" w:hAnsi="Times New Roman" w:eastAsia="宋体"/>
                <w:sz w:val="18"/>
              </w:rPr>
              <w:t>/SHA-256、临时与正式文件状态</w:t>
            </w:r>
          </w:p>
        </w:tc>
      </w:tr>
      <w:tr>
        <w:tc>
          <w:tcPr>
            <w:tcW w:type="dxa" w:w="2211"/>
          </w:tcPr>
          <w:p>
            <w:r>
              <w:rPr>
                <w:sz w:val="18"/>
              </w:rPr>
            </w:r>
            <w:r>
              <w:rPr>
                <w:rFonts w:ascii="Times New Roman" w:hAnsi="Times New Roman" w:eastAsia="宋体"/>
                <w:sz w:val="18"/>
              </w:rPr>
              <w:t>模式输入组织层将标准产品组织为模型就绪输入</w:t>
            </w:r>
          </w:p>
        </w:tc>
        <w:tc>
          <w:tcPr>
            <w:tcW w:type="dxa" w:w="2211"/>
          </w:tcPr>
          <w:p>
            <w:r>
              <w:rPr>
                <w:sz w:val="18"/>
              </w:rPr>
            </w:r>
            <w:r>
              <w:rPr>
                <w:rFonts w:ascii="Times New Roman" w:hAnsi="Times New Roman" w:eastAsia="宋体"/>
                <w:sz w:val="18"/>
              </w:rPr>
              <w:t>确定性读取、字段、时间轴与接口核对</w:t>
            </w:r>
          </w:p>
        </w:tc>
        <w:tc>
          <w:tcPr>
            <w:tcW w:type="dxa" w:w="2211"/>
          </w:tcPr>
          <w:p>
            <w:r>
              <w:rPr>
                <w:sz w:val="18"/>
              </w:rPr>
            </w:r>
            <w:r>
              <w:rPr>
                <w:rFonts w:ascii="Times New Roman" w:hAnsi="Times New Roman" w:eastAsia="宋体"/>
                <w:sz w:val="18"/>
              </w:rPr>
              <w:t>US-NR1的14类陆面产品、8类ERA5及Emerald初始化和60 s首步</w:t>
            </w:r>
          </w:p>
        </w:tc>
        <w:tc>
          <w:tcPr>
            <w:tcW w:type="dxa" w:w="2211"/>
          </w:tcPr>
          <w:p>
            <w:r>
              <w:rPr>
                <w:sz w:val="18"/>
              </w:rPr>
            </w:r>
            <w:r>
              <w:rPr>
                <w:rFonts w:ascii="Times New Roman" w:hAnsi="Times New Roman" w:eastAsia="宋体"/>
                <w:sz w:val="18"/>
              </w:rPr>
              <w:t>字段与形状、时间轴、量纲、逐点数值、初始化与首步状态</w:t>
            </w:r>
          </w:p>
        </w:tc>
      </w:tr>
      <w:tr>
        <w:tc>
          <w:tcPr>
            <w:tcW w:type="dxa" w:w="2211"/>
          </w:tcPr>
          <w:p>
            <w:r>
              <w:rPr>
                <w:sz w:val="18"/>
              </w:rPr>
            </w:r>
            <w:r>
              <w:rPr>
                <w:rFonts w:ascii="Times New Roman" w:hAnsi="Times New Roman" w:eastAsia="宋体"/>
                <w:sz w:val="18"/>
              </w:rPr>
              <w:t>核心实现具有跨操作系统运行一致性</w:t>
            </w:r>
          </w:p>
        </w:tc>
        <w:tc>
          <w:tcPr>
            <w:tcW w:type="dxa" w:w="2211"/>
          </w:tcPr>
          <w:p>
            <w:r>
              <w:rPr>
                <w:sz w:val="18"/>
              </w:rPr>
            </w:r>
            <w:r>
              <w:rPr>
                <w:rFonts w:ascii="Times New Roman" w:hAnsi="Times New Roman" w:eastAsia="宋体"/>
                <w:sz w:val="18"/>
              </w:rPr>
              <w:t>Windows、macOS、Linux持续集成</w:t>
            </w:r>
          </w:p>
        </w:tc>
        <w:tc>
          <w:tcPr>
            <w:tcW w:type="dxa" w:w="2211"/>
          </w:tcPr>
          <w:p>
            <w:r>
              <w:rPr>
                <w:sz w:val="18"/>
              </w:rPr>
            </w:r>
            <w:r>
              <w:rPr>
                <w:rFonts w:ascii="Times New Roman" w:hAnsi="Times New Roman" w:eastAsia="宋体"/>
                <w:sz w:val="18"/>
              </w:rPr>
              <w:t>Windows/macOS独立性能观测及按实际环境记录的真实网络案例</w:t>
            </w:r>
          </w:p>
        </w:tc>
        <w:tc>
          <w:tcPr>
            <w:tcW w:type="dxa" w:w="2211"/>
          </w:tcPr>
          <w:p>
            <w:r>
              <w:rPr>
                <w:sz w:val="18"/>
              </w:rPr>
            </w:r>
            <w:r>
              <w:rPr>
                <w:rFonts w:ascii="Times New Roman" w:hAnsi="Times New Roman" w:eastAsia="宋体"/>
                <w:sz w:val="18"/>
              </w:rPr>
              <w:t>产品结构、逐点数值、文件摘要、缓存状态和接口状态</w:t>
            </w:r>
          </w:p>
        </w:tc>
      </w:tr>
    </w:tbl>
    <w:p>
      <w:pPr>
        <w:ind w:firstLine="0"/>
      </w:pPr>
      <w:r>
        <w:rPr>
          <w:rFonts w:ascii="Times New Roman" w:hAnsi="Times New Roman" w:eastAsia="宋体"/>
          <w:b/>
        </w:rPr>
        <w:t>Table 3 Core contributions, evidence levels, and evaluation metrics for the GriddingMachine framework.</w:t>
      </w:r>
      <w:r>
        <w:rPr>
          <w:rFonts w:ascii="Times New Roman" w:hAnsi="Times New Roman" w:eastAsia="宋体"/>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宋体"/>
        </w:rPr>
        <w:t>3.1 数据生产与标准化及OISST案例</w:t>
      </w:r>
    </w:p>
    <w:p>
      <w:pPr>
        <w:pStyle w:val="Heading3"/>
      </w:pPr>
      <w:r>
        <w:rPr>
          <w:rFonts w:ascii="Times New Roman" w:hAnsi="Times New Roman" w:eastAsia="宋体"/>
        </w:rPr>
        <w:t>3.1.1 共享生产契约与质量控制</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代表性处理实例包括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r>
        <w:rPr>
          <w:rFonts w:ascii="Times New Roman" w:hAnsi="Times New Roman" w:eastAsia="宋体"/>
        </w:rPr>
        <w:t>共享生产契约的受控评价从维度、坐标、数值、Gapfill、YAML配置、输出和空间方向7个方面组织31组代表性处理实例。各组对应生产流程中的一个关键操作，并以结构、逐点数值或产品状态表征标准化结果；完整分类矩阵见补充材料S4。</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宋体"/>
        </w:rPr>
        <w:t>配置构建器面向二维数据、含不确定性变量的三维数据和经纬度变换数据生成符合共享配置规范的YAML，并将其直接交给标准产品生产引擎。数据贡献案例进一步贯通配置生成、标准化、自动与人工质量检查、产品发布、目录登记以及下游更新、下载和读取，形成覆盖主要环节的数据贡献入口。</w:t>
      </w:r>
    </w:p>
    <w:p>
      <w:pPr>
        <w:pStyle w:val="Heading3"/>
      </w:pPr>
      <w:r>
        <w:rPr>
          <w:rFonts w:ascii="Times New Roman" w:hAnsi="Times New Roman" w:eastAsia="宋体"/>
        </w:rPr>
        <w:t>3.1.2 OISST异构产品标准化</w:t>
      </w:r>
    </w:p>
    <w:p>
      <w:r>
        <w:rPr>
          <w:rFonts w:ascii="Times New Roman" w:hAnsi="Times New Roman" w:eastAsia="宋体"/>
        </w:rPr>
        <w:t>OISST（最优插值海表温度）实际数据用于进一步呈现共享生产契约对异构源结构的适配能力。案例采用NOAA/NCEI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w:t>
      </w:r>
    </w:p>
    <w:p>
      <w:r>
        <w:rPr>
          <w:rFonts w:ascii="Times New Roman" w:hAnsi="Times New Roman" w:eastAsia="宋体"/>
        </w:rPr>
        <w:t>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宋体"/>
        </w:rPr>
        <w:t>3.2 ELEV与LAI的直接NetCDF分发效率评价</w:t>
      </w:r>
    </w:p>
    <w:p>
      <w:r>
        <w:rPr>
          <w:rFonts w:ascii="Times New Roman" w:hAnsi="Times New Roman" w:eastAsia="宋体"/>
        </w:rPr>
        <w:t>直接NetCDF分发效率采用二维静态高程（ELEV）</w:t>
      </w:r>
      <w:r>
        <w:rPr>
          <w:rFonts w:ascii="Consolas" w:hAnsi="Consolas" w:eastAsia="等线"/>
        </w:rPr>
        <w:t>ELEV_4X_1Y_V1</w:t>
      </w:r>
      <w:r>
        <w:rPr>
          <w:rFonts w:ascii="Times New Roman" w:hAnsi="Times New Roman" w:eastAsia="宋体"/>
        </w:rPr>
        <w:t>和三维8日叶面积指数（LAI）</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多镜像获取与内容完整性</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覆盖目录更新、单产品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宋体"/>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宋体"/>
        </w:rPr>
        <w:t>镜像访问实验选取4个同时具有FTP和Zenodo地址且已登记</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统一读取与模式输入组织</w:t>
      </w:r>
    </w:p>
    <w:p>
      <w:r>
        <w:rPr>
          <w:rFonts w:ascii="Times New Roman" w:hAnsi="Times New Roman" w:eastAsia="宋体"/>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型入口。</w:t>
      </w:r>
    </w:p>
    <w:p>
      <w:r>
        <w:rPr>
          <w:rFonts w:ascii="Times New Roman" w:hAnsi="Times New Roman" w:eastAsia="宋体"/>
        </w:rPr>
        <w:t>真实气象案例使用同一年度的8类ERA5标准产品[10]：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等线"/>
        </w:rPr>
        <w:t>data</w:t>
      </w:r>
      <w:r>
        <w:rPr>
          <w:rFonts w:ascii="Times New Roman" w:hAnsi="Times New Roman" w:eastAsia="宋体"/>
        </w:rPr>
        <w:t>变量的</w:t>
      </w:r>
      <w:r>
        <w:rPr>
          <w:rFonts w:ascii="Consolas" w:hAnsi="Consolas" w:eastAsia="等线"/>
        </w:rPr>
        <w:t>lon×lat×ind</w:t>
      </w:r>
      <w:r>
        <w:rPr>
          <w:rFonts w:ascii="Times New Roman" w:hAnsi="Times New Roman" w:eastAsia="宋体"/>
        </w:rPr>
        <w:t>维度、360×180×8784形状及单位属性。模式输入组织层输出与底层NetCDF直接读取的同一格点序列逐点比较；</w:t>
      </w:r>
      <w:r>
        <w:rPr>
          <w:rFonts w:ascii="Consolas" w:hAnsi="Consolas" w:eastAsia="等线"/>
        </w:rPr>
        <w:t>FDOY</w:t>
      </w:r>
      <w:r>
        <w:rPr>
          <w:rFonts w:ascii="Times New Roman" w:hAnsi="Times New Roman" w:eastAsia="宋体"/>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宋体"/>
        </w:rPr>
        <w:t>3.5 跨操作系统运行一致性设计</w:t>
      </w:r>
    </w:p>
    <w:p>
      <w:r>
        <w:rPr>
          <w:rFonts w:ascii="Times New Roman" w:hAnsi="Times New Roman" w:eastAsia="宋体"/>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宋体"/>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宋体"/>
        </w:rPr>
        <w:t>4 结果</w:t>
      </w:r>
    </w:p>
    <w:p>
      <w:r>
        <w:rPr>
          <w:rFonts w:ascii="Times New Roman" w:hAnsi="Times New Roman" w:eastAsia="宋体"/>
        </w:rPr>
        <w:t>按照表3所列评价设计，以下依次呈现标准产品生产、直接NetCDF分发效率、多镜像获取、模式输入组织和跨操作系统运行一致性结果。</w:t>
      </w:r>
    </w:p>
    <w:p>
      <w:pPr>
        <w:pStyle w:val="Heading2"/>
      </w:pPr>
      <w:r>
        <w:rPr>
          <w:rFonts w:ascii="Times New Roman" w:hAnsi="Times New Roman" w:eastAsia="宋体"/>
        </w:rPr>
        <w:t>4.1 数据生产与标准化及OISST结果</w:t>
      </w:r>
    </w:p>
    <w:p>
      <w:pPr>
        <w:pStyle w:val="Heading3"/>
      </w:pPr>
      <w:r>
        <w:rPr>
          <w:rFonts w:ascii="Times New Roman" w:hAnsi="Times New Roman" w:eastAsia="宋体"/>
        </w:rPr>
        <w:t>4.1.1 共享生产契约与质量控制结果</w:t>
      </w:r>
    </w:p>
    <w:p>
      <w:r>
        <w:rPr>
          <w:rFonts w:ascii="Times New Roman" w:hAnsi="Times New Roman" w:eastAsia="宋体"/>
        </w:rPr>
        <w:t>31组处理实例覆盖维度、坐标、数值、Gapfill、配置、输出和空间方向控制，其中29组非交互实例在三系统持续集成环境中获得一致的产品结构和逐点数值结果；人工空间审核分别接受正向图并识别南北反转图，与预设方向结果一致。数据贡献案例进一步贯通YAML配置、标准产品生成、目录登记和下游读取，生成产品与参考数组逐点一致，目录中的文件字节数和SHA-256与产品相符。</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3"/>
      </w:pPr>
      <w:r>
        <w:rPr>
          <w:rFonts w:ascii="Times New Roman" w:hAnsi="Times New Roman" w:eastAsia="宋体"/>
        </w:rPr>
        <w:t>4.1.2 OISST异构产品标准化结果</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产品、共享YAML生产、目录登记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从四维源结构、存储值解码和经度重排到二维标准网格的转换路径；（c）坐标、有效值掩膜、物理值及重复生成摘要的独立参考核对。标准产品为1440×720规则网格，691 150个有效格点及345 650个缺失格点与独立参考掩膜逐点一致，物理值最大绝对差为0，3次生成的文件摘要相同。</w:t>
      </w:r>
    </w:p>
    <w:p>
      <w:pPr>
        <w:ind w:firstLine="0"/>
      </w:pPr>
      <w:r>
        <w:rPr>
          <w:rFonts w:ascii="Times New Roman" w:hAnsi="Times New Roman" w:eastAsia="宋体"/>
          <w:b/>
        </w:rPr>
        <w:t>Fig. 2 Standardization results for the OISST V2.1 product.</w:t>
      </w:r>
      <w:r>
        <w:rPr>
          <w:rFonts w:ascii="Times New Roman" w:hAnsi="Times New Roman" w:eastAsia="宋体"/>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product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宋体"/>
        </w:rPr>
        <w:t>4.2 ELEV与LAI的直接NetCDF分发效率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评价分发效率，并在环境A（Windows）和环境B（macOS）中采用一致协议。两文件的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变量均采用NetCDF内部zlib压缩级别4，对照归档采用gzip压缩级别6。回环HTTP条件下，各“数据×形式”组合经过缓存预热并按随机顺序重复10次，解包后内容均通过SHA-256校验。</w:t>
      </w:r>
    </w:p>
    <w:p>
      <w:r>
        <w:rPr>
          <w:rFonts w:ascii="Times New Roman" w:hAnsi="Times New Roman" w:eastAsia="宋体"/>
        </w:rPr>
        <w:t>环境A中，直接NetCDF相对外层</w:t>
      </w:r>
      <w:r>
        <w:rPr>
          <w:rFonts w:ascii="Consolas" w:hAnsi="Consolas" w:eastAsia="等线"/>
        </w:rPr>
        <w:t>tar.gz</w:t>
      </w:r>
      <w:r>
        <w:rPr>
          <w:rFonts w:ascii="Times New Roman" w:hAnsi="Times New Roman" w:eastAsia="宋体"/>
        </w:rPr>
        <w:t>将ELEV和LAI的端到端中位时间分别降低48.3%和82.9%；环境B中的相应降幅分别为53.6%和69.2%。两个数据文件的传输字节分别增加6.43%和2.16%，逻辑临时占用分别减少约48%和49%。80次SHA-256摘要核验结果一致，体现了减少重复压缩、解包及临时文件共存对缩短数据访问路径的贡献。</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ELEV和LAI产品采用直接NetCDF与外层tar.gz分发的端到端时间比较</w:t>
      </w:r>
      <w:r>
        <w:rPr>
          <w:rFonts w:ascii="Times New Roman" w:hAnsi="Times New Roman" w:eastAsia="宋体"/>
        </w:rPr>
        <w:t xml:space="preserve"> （a）二维高程产品ELEV；（b）三维叶面积指数产品LAI。空心圆表示各组合的10次独立测量，柱高为缓存预热后端到端时间中位数，误差线为95%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distribution time for the ELEV and LAI products using direct NetCDF and external `tar.gz` archives.</w:t>
      </w:r>
      <w:r>
        <w:rPr>
          <w:rFonts w:ascii="Times New Roman" w:hAnsi="Times New Roman" w:eastAsia="宋体"/>
        </w:rPr>
        <w:t xml:space="preserve"> (a) The two-dimensional ELEV product; (b) the three-dimensional LAI product.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目录管理与事务式多镜像分发</w:t>
      </w:r>
    </w:p>
    <w:p>
      <w:r>
        <w:rPr>
          <w:rFonts w:ascii="Times New Roman" w:hAnsi="Times New Roman" w:eastAsia="宋体"/>
        </w:rPr>
        <w:t>目录与数据获取模块将目录初始化、事务更新、产品同步、镜像获取、状态查询和历史数据整理组织为统一的数据维护接口。独立目录使数据产品能够随镜像和版本持续更新，事务缓存区与正式数据区的分层机制则将传输过程与标准产品分离，使上一有效目录和已发布产品在目录更新与镜像切换过程中保持稳定。</w:t>
      </w:r>
    </w:p>
    <w:p>
      <w:r>
        <w:rPr>
          <w:rFonts w:ascii="Times New Roman" w:hAnsi="Times New Roman" w:eastAsia="宋体"/>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宋体"/>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宋体"/>
        </w:rPr>
        <w:t>校园网双镜像实验是另一组独立记录：4个产品分别从FTP和Zenodo重复获取3次，两类镜像各形成12次下载，共24次结果，均达到登记字节数并通过SHA-256核验。在本组校园网观测中，延迟辅助排序与实际传输顺序一致，机构镜像与公共镜像提供了内容一致的分发副本；分产品传输时间与网络记录列于补充材料。</w:t>
      </w:r>
    </w:p>
    <w:p>
      <w:r>
        <w:rPr>
          <w:rFonts w:ascii="Times New Roman" w:hAnsi="Times New Roman" w:eastAsia="宋体"/>
        </w:rPr>
        <w:t>ERA5降水数据的单位修订进一步呈现逻辑标签与物理文件的解耦：逻辑标签</w:t>
      </w:r>
      <w:r>
        <w:rPr>
          <w:rFonts w:ascii="Consolas" w:hAnsi="Consolas" w:eastAsia="等线"/>
        </w:rPr>
        <w:t>PPT_ERA5_1X_1H_2020_V1</w:t>
      </w:r>
      <w:r>
        <w:rPr>
          <w:rFonts w:ascii="Times New Roman" w:hAnsi="Times New Roman" w:eastAsia="宋体"/>
        </w:rPr>
        <w:t>保持稳定，目录将其物理URL指向</w:t>
      </w:r>
      <w:r>
        <w:rPr>
          <w:rFonts w:ascii="Consolas" w:hAnsi="Consolas" w:eastAsia="等线"/>
        </w:rPr>
        <w:t>V1_R1.nc</w:t>
      </w:r>
      <w:r>
        <w:rPr>
          <w:rFonts w:ascii="Times New Roman" w:hAnsi="Times New Roman" w:eastAsia="宋体"/>
        </w:rPr>
        <w:t>并登记新的</w:t>
      </w:r>
      <w:r>
        <w:rPr>
          <w:rFonts w:ascii="Consolas" w:hAnsi="Consolas" w:eastAsia="等线"/>
        </w:rPr>
        <w:t>SIZE</w:t>
      </w:r>
      <w:r>
        <w:rPr>
          <w:rFonts w:ascii="Times New Roman" w:hAnsi="Times New Roman" w:eastAsia="宋体"/>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宋体"/>
        </w:rPr>
        <w:t>4.4 统一读取与模式输入组织</w:t>
      </w:r>
    </w:p>
    <w:p>
      <w:r>
        <w:rPr>
          <w:rFonts w:ascii="Times New Roman" w:hAnsi="Times New Roman" w:eastAsia="宋体"/>
        </w:rPr>
        <w:t>陆面案例使用2020年第二套陆面参数集合的14类标准产品，文件大小、来源摘要和SHA-256均通过核验。US-NR1站点映射至40.5°N、105.5°W的规则格点，参数融合接口组织34个模型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宋体"/>
        </w:rPr>
        <w:t>真实气象案例读取2020年8类ERA5标准产品，八文件合计12 575 376 138字节；各</w:t>
      </w:r>
      <w:r>
        <w:rPr>
          <w:rFonts w:ascii="Consolas" w:hAnsi="Consolas" w:eastAsia="等线"/>
        </w:rPr>
        <w:t>data</w:t>
      </w:r>
      <w:r>
        <w:rPr>
          <w:rFonts w:ascii="Times New Roman" w:hAnsi="Times New Roman" w:eastAsia="宋体"/>
        </w:rPr>
        <w:t>变量均为</w:t>
      </w:r>
      <w:r>
        <w:rPr>
          <w:rFonts w:ascii="Consolas" w:hAnsi="Consolas" w:eastAsia="等线"/>
        </w:rPr>
        <w:t>lon×lat×ind</w:t>
      </w:r>
      <w:r>
        <w:rPr>
          <w:rFonts w:ascii="Times New Roman" w:hAnsi="Times New Roman" w:eastAsia="宋体"/>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等线"/>
        </w:rPr>
        <w:t>FDOY</w:t>
      </w:r>
      <w:r>
        <w:rPr>
          <w:rFonts w:ascii="Times New Roman" w:hAnsi="Times New Roman" w:eastAsia="宋体"/>
        </w:rPr>
        <w:t>严格递增且与独立公式逐点一致。气象驱动组织形成</w:t>
      </w:r>
      <w:r>
        <w:rPr>
          <w:rFonts w:ascii="Consolas" w:hAnsi="Consolas" w:eastAsia="等线"/>
        </w:rPr>
        <w:t>FDOY</w:t>
      </w:r>
      <w:r>
        <w:rPr>
          <w:rFonts w:ascii="Times New Roman" w:hAnsi="Times New Roman" w:eastAsia="宋体"/>
        </w:rPr>
        <w:t>和8类气象共9个字段，Emerald适配后扩展为16个模型驱动字段；真实陆面参数与真实气象共同完成模型初始化和60 s首步计算，大气与土壤关键状态均保持有限值。</w:t>
      </w:r>
    </w:p>
    <w:p>
      <w:r>
        <w:rPr>
          <w:rFonts w:ascii="Times New Roman" w:hAnsi="Times New Roman" w:eastAsia="宋体"/>
        </w:rPr>
        <w:t>量纲审计进一步表明，PPT全年累计值为0.496409 m水层，即496.409 mm。该数值尺度与ERA5逐小时累计降水的米制表达[11]及Emerald由水层厚度转换为摩尔通量的适配关系一致。据此，标准NetCDF中的降水单位属性统一为</w:t>
      </w:r>
      <w:r>
        <w:rPr>
          <w:rFonts w:ascii="Consolas" w:hAnsi="Consolas" w:eastAsia="等线"/>
        </w:rPr>
        <w:t>m</w:t>
      </w:r>
      <w:r>
        <w:rPr>
          <w:rFonts w:ascii="Times New Roman" w:hAnsi="Times New Roman" w:eastAsia="宋体"/>
        </w:rPr>
        <w:t>，使数据元信息、数值尺度和模型换算形成一致的量纲链条。真实年度案例由此覆盖格点提取、时间轴构建、量纲衔接和模型首步计算等主要接口环节。</w:t>
      </w:r>
    </w:p>
    <w:p>
      <w:pPr>
        <w:pStyle w:val="Heading2"/>
      </w:pPr>
      <w:r>
        <w:rPr>
          <w:rFonts w:ascii="Times New Roman" w:hAnsi="Times New Roman" w:eastAsia="宋体"/>
        </w:rPr>
        <w:t>4.5 跨操作系统运行一致性结果</w:t>
      </w:r>
    </w:p>
    <w:p>
      <w:r>
        <w:rPr>
          <w:rFonts w:ascii="Times New Roman" w:hAnsi="Times New Roman" w:eastAsia="宋体"/>
        </w:rPr>
        <w:t>Windows、macOS和Linux持续集成环境分别完成29组非交互生产实例、40次确定性分发测量和65次镜像状态核对，产品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宋体"/>
        </w:rPr>
        <w:t>Windows和macOS本地环境进一步完成ELEV/LAI性能测量及镜像故障场景，独立公共网络记录完成Zenodo内容核验；校园网环境完成FTP—Zenodo同文件对照，US-NR1案例完成真实陆面与气象产品的模式输入组织。持续集成、独立环境观测和真实数据案例共同构成分层复现证据，具体系统—模块对应关系列于补充材料S5。</w:t>
      </w:r>
    </w:p>
    <w:p>
      <w:pPr>
        <w:pStyle w:val="Heading1"/>
      </w:pPr>
      <w:r>
        <w:rPr>
          <w:rFonts w:ascii="Times New Roman" w:hAnsi="Times New Roman" w:eastAsia="宋体"/>
        </w:rPr>
        <w:t>5 讨论</w:t>
      </w:r>
    </w:p>
    <w:p>
      <w:pPr>
        <w:pStyle w:val="Heading2"/>
      </w:pPr>
      <w:r>
        <w:rPr>
          <w:rFonts w:ascii="Times New Roman" w:hAnsi="Times New Roman" w:eastAsia="宋体"/>
        </w:rPr>
        <w:t>5.1 从统一产品标准到可执行数据生命周期</w:t>
      </w:r>
    </w:p>
    <w:p>
      <w:r>
        <w:rPr>
          <w:rFonts w:ascii="Times New Roman" w:hAnsi="Times New Roman" w:eastAsia="宋体"/>
        </w:rPr>
        <w:t>2022版GriddingMachine已经建立统一网格、变量约定、标签化数据访问以及基于artifact的数据管理[4]。新版进一步把分布于数据源专用处理、软件内置目录和下游调用中的维护单元组织为三个相互衔接的层次：共享YAML契约显式描述异构源到标准产品的转换规则，独立目录维护标准产品的逻辑标识、镜像和完整性元数据，统一读取与模式输入层围绕稳定标签组织下游使用。数据处理规则、产品目录和访问软件由此能够在共同约定下分别更新，并通过标准产品和标签保持连续对应。</w:t>
      </w:r>
    </w:p>
    <w:p>
      <w:r>
        <w:rPr>
          <w:rFonts w:ascii="Times New Roman" w:hAnsi="Times New Roman" w:eastAsia="宋体"/>
        </w:rPr>
        <w:t>OISST案例说明了这种重构在数据生产与标准化层的具体作用。源变量的单例维度、存储缩放和经度范围由源适配与共享配置共同表达，输出通过独立解码参考核对坐标、有效值掩膜和逐点物理值。31组受控实例解析维度、坐标、数值和Gapfill等基本操作的确定性表现，真实OISST呈现这些机制在实际异构产品中的组合路径。由此，新版将处理规则显式化为可执行、可核对的生产契约，并把标准化流程从数据源专用实现提升为可复用的数据生产方法。</w:t>
      </w:r>
    </w:p>
    <w:p>
      <w:pPr>
        <w:pStyle w:val="Heading2"/>
      </w:pPr>
      <w:r>
        <w:rPr>
          <w:rFonts w:ascii="Times New Roman" w:hAnsi="Times New Roman" w:eastAsia="宋体"/>
        </w:rPr>
        <w:t>5.2 直接NetCDF分发与完整性保证的重新建立</w:t>
      </w:r>
    </w:p>
    <w:p>
      <w:r>
        <w:rPr>
          <w:rFonts w:ascii="Times New Roman" w:hAnsi="Times New Roman" w:eastAsia="宋体"/>
        </w:rPr>
        <w:t>直接NetCDF简化了标准文件外层</w:t>
      </w:r>
      <w:r>
        <w:rPr>
          <w:rFonts w:ascii="Consolas" w:hAnsi="Consolas" w:eastAsia="等线"/>
        </w:rPr>
        <w:t>tar.gz</w:t>
      </w:r>
      <w:r>
        <w:rPr>
          <w:rFonts w:ascii="Times New Roman" w:hAnsi="Times New Roman" w:eastAsia="宋体"/>
        </w:rPr>
        <w:t>的打包和解包步骤。ELEV和LAI已经采用NetCDF内部压缩，外层归档仅减少2.16%～6.43%的传输字节；直接NetCDF在两个独立环境中均缩短了缓存预热后的端到端时间，并将逻辑临时占用降低约一半。对于下载后立即读取的单体NetCDF，分发单元由此能够综合优化传输字节、解包开销和首次读取路径，为内部压缩产品提供更直接的数据访问方式。</w:t>
      </w:r>
    </w:p>
    <w:p>
      <w:r>
        <w:rPr>
          <w:rFonts w:ascii="Times New Roman" w:hAnsi="Times New Roman" w:eastAsia="宋体"/>
        </w:rPr>
        <w:t>直接NetCDF路径同时以显式完整性记录承接旧版artifact封装提供的内容约束。新版目录生成器从权威标准文件计算并记录</w:t>
      </w:r>
      <w:r>
        <w:rPr>
          <w:rFonts w:ascii="Consolas" w:hAnsi="Consolas" w:eastAsia="等线"/>
        </w:rPr>
        <w:t>SIZE</w:t>
      </w:r>
      <w:r>
        <w:rPr>
          <w:rFonts w:ascii="Times New Roman" w:hAnsi="Times New Roman" w:eastAsia="宋体"/>
        </w:rPr>
        <w:t>和SHA-256；每个镜像下载到独立临时文件，字节数和摘要与目录一致后进入正式路径。13类受控状态场景刻画回退、内容变化和缓存条件下的事务行为，真实Zenodo及校园网FTP—Zenodo记录表明代表性网络副本与目录登记内容一致。分发效率与事务式完整性机制由此共同构成新版分发架构的两项互补改进。</w:t>
      </w:r>
    </w:p>
    <w:p>
      <w:r>
        <w:rPr>
          <w:rFonts w:ascii="Times New Roman" w:hAnsi="Times New Roman" w:eastAsia="宋体"/>
        </w:rPr>
        <w:t>ERA5降水V1→V1_R1修订展示了独立目录的另一项作用：模型侧继续使用稳定逻辑标签，物理文件、URL及完整性摘要在目录层更新。目录记录与带修订后缀的文件共同保留版本关系，使数据修订与下游接口保持解耦，并由新的摘要锁定修订后的文件内容。</w:t>
      </w:r>
    </w:p>
    <w:p>
      <w:pPr>
        <w:pStyle w:val="Heading2"/>
      </w:pPr>
      <w:r>
        <w:rPr>
          <w:rFonts w:ascii="Times New Roman" w:hAnsi="Times New Roman" w:eastAsia="宋体"/>
        </w:rPr>
        <w:t>5.3 科学质量控制与内容完整性的协同</w:t>
      </w:r>
    </w:p>
    <w:p>
      <w:r>
        <w:rPr>
          <w:rFonts w:ascii="Times New Roman" w:hAnsi="Times New Roman" w:eastAsia="宋体"/>
        </w:rPr>
        <w:t>生产质量控制与分发完整性核验形成互补。数据生产与标准化层通过维度、坐标方向、变量、数值范围、Gapfill、空间方向图和独立参考等检查，确认标准数据符合声明的处理规则；数据目录与可信分发层通过文件字节数和SHA-256确认下载对象与目录登记的标准文件内容一致。源数据属性、处理规则、变量物理意义和量纲继续在数据生产与标准化层与模式输入组织层接受对应检查。OISST的逐点独立参考和ERA5降水单位修订体现了两类机制在数据生命周期中的协同作用。</w:t>
      </w:r>
    </w:p>
    <w:p>
      <w:r>
        <w:rPr>
          <w:rFonts w:ascii="Times New Roman" w:hAnsi="Times New Roman" w:eastAsia="宋体"/>
        </w:rPr>
        <w:t>本文以“可信分发”概括标准产品标识和内容完整性可核验的分发机制。多镜像提供获取路径冗余，候选顺序组织尝试过程，完整性元数据确保正式目录接收与登记产品一致的文件。校园网实验进一步呈现FTP与Zenodo等价副本在真实网络路径中的内容一致性。</w:t>
      </w:r>
    </w:p>
    <w:p>
      <w:pPr>
        <w:pStyle w:val="Heading2"/>
      </w:pPr>
      <w:r>
        <w:rPr>
          <w:rFonts w:ascii="Times New Roman" w:hAnsi="Times New Roman" w:eastAsia="宋体"/>
        </w:rPr>
        <w:t>5.4 从标准产品到模式输入：接口层面的“模型就绪”</w:t>
      </w:r>
    </w:p>
    <w:p>
      <w:r>
        <w:rPr>
          <w:rFonts w:ascii="Times New Roman" w:hAnsi="Times New Roman" w:eastAsia="宋体"/>
        </w:rPr>
        <w:t>标准化NetCDF是模式输入组织的起点。地球系统模式还需要把多个产品映射到共同格点，组合参数字段，建立时间轴，并衔接变量单位和模型接口所需的数据结构。US-NR1案例中，14类陆面产品形成34个模型字段，8类ERA5产品形成8784步逐时气象序列；模式输入组织层字段与底层NetCDF逐点一致，FDOY与独立时间公式一致，降水单位与模型水量换算相衔接。真实陆面参数和气象驱动随后完成Emerald初始化和60 s首步计算。</w:t>
      </w:r>
    </w:p>
    <w:p>
      <w:r>
        <w:rPr>
          <w:rFonts w:ascii="Times New Roman" w:hAnsi="Times New Roman" w:eastAsia="宋体"/>
        </w:rPr>
        <w:t>这些结果体现了模型就绪数据在字段组织、时间轴、量纲衔接和接口运行上的完整路径。本文将“模型就绪”定义为：标准产品经过格点索引、字段组织、时间轴构建和量纲衔接后，形成满足Emerald初始化接口的数据结构。以US-NR1年度案例为基础，相同接口可进一步服务多区域、多年份、不同生态区和长期模型积分。</w:t>
      </w:r>
    </w:p>
    <w:p>
      <w:pPr>
        <w:pStyle w:val="Heading2"/>
      </w:pPr>
      <w:r>
        <w:rPr>
          <w:rFonts w:ascii="Times New Roman" w:hAnsi="Times New Roman" w:eastAsia="宋体"/>
        </w:rPr>
        <w:t>5.5 跨操作系统运行一致性与相关基础设施定位</w:t>
      </w:r>
    </w:p>
    <w:p>
      <w:r>
        <w:rPr>
          <w:rFonts w:ascii="Times New Roman" w:hAnsi="Times New Roman" w:eastAsia="宋体"/>
        </w:rPr>
        <w:t>Windows、macOS和Linux持续集成呈现固定依赖条件下核心数据逻辑的跨操作系统一致性。持续集成覆盖确定性的生产、分发和接口路径，独立环境用于测量性能与镜像状态，真实网络及US-NR1案例呈现实际数据流。核心逻辑、实际性能和真实应用相互补充，形成从软件实现到地学产品及模型接口的分层复现体系。</w:t>
      </w:r>
    </w:p>
    <w:p>
      <w:r>
        <w:rPr>
          <w:rFonts w:ascii="Times New Roman" w:hAnsi="Times New Roman" w:eastAsia="宋体"/>
        </w:rPr>
        <w:t>从基础设施定位看，NetCDF/CF支持多维科学数据的表示与语义约定[2,5]，Earth Engine强调云端地理空间数据计算[3]，ESGF支撑分布式气候模式数据发现与访问[12]，Pangeo及Pangeo Forge侧重云优化数据和可复用生产配方[13-14]。国内地球系统科学数据共享研究同样强调目录体系与规范分类对跨团队复用的作用[15]；Pooch与STAC分别提供文件获取注册和广义地理空间资产描述[16-17]。FAIR4RS原则强调研究软件的持续演化和版本记录[18]，TRUST原则强调数字资源库的透明度与技术能力[19]，国家科学数据中心的FAIR实践进一步展示了标准化元数据和清晰使用信息的重要性[20]。GriddingMachine面向全球规则网格产品进入Julia模型工作流的应用场景，以稳定标签连接机构存储、公共镜像、离线缓存和模式输入，其特色是将上游生产契约、标准NetCDF、轻量目录、事务式多镜像获取和下游模型字段组织纳入同一生命周期。</w:t>
      </w:r>
    </w:p>
    <w:p>
      <w:pPr>
        <w:pStyle w:val="Heading2"/>
      </w:pPr>
      <w:r>
        <w:rPr>
          <w:rFonts w:ascii="Times New Roman" w:hAnsi="Times New Roman" w:eastAsia="宋体"/>
        </w:rPr>
        <w:t>5.6 扩展路径与应用前景</w:t>
      </w:r>
    </w:p>
    <w:p>
      <w:r>
        <w:rPr>
          <w:rFonts w:ascii="Times New Roman" w:hAnsi="Times New Roman" w:eastAsia="宋体"/>
        </w:rPr>
        <w:t>全球规则经纬网构成当前共享生产与读取契约，源适配器为非规则网格、区域投影和复杂坐标进入标准化流程提供扩展入口。围绕OISST、ELEV/LAI、代表性镜像和US-NR1形成的方法与案例，为继续扩展海洋、陆面和大气产品、多区域多年份模型应用及长期积分提供基础。随着公共镜像、完整性元数据、持久化归档和模型适配持续完善，GriddingMachine将进一步增强地球系统数据产品的开放共享、稳定获取和跨模型复用能力。</w:t>
      </w:r>
    </w:p>
    <w:p>
      <w:pPr>
        <w:pStyle w:val="Heading1"/>
      </w:pPr>
      <w:r>
        <w:rPr>
          <w:rFonts w:ascii="Times New Roman" w:hAnsi="Times New Roman" w:eastAsia="宋体"/>
        </w:rPr>
        <w:t>6 结论</w:t>
      </w:r>
    </w:p>
    <w:p>
      <w:r>
        <w:rPr>
          <w:rFonts w:ascii="Times New Roman" w:hAnsi="Times New Roman" w:eastAsia="宋体"/>
        </w:rPr>
        <w:t>本文在2022版GriddingMachine统一网格、标签访问和artifact数据管理基础上，形成由数据生产与标准化层、数据目录与可信分发层和模式输入组织层构成的可执行数据生命周期。新版以共享YAML配置规范和显式源维度映射描述异构源到标准NetCDF的生产契约，以独立目录、直接NetCDF、事务式获取和</w:t>
      </w:r>
      <w:r>
        <w:rPr>
          <w:rFonts w:ascii="Consolas" w:hAnsi="Consolas" w:eastAsia="等线"/>
        </w:rPr>
        <w:t>SIZE</w:t>
      </w:r>
      <w:r>
        <w:rPr>
          <w:rFonts w:ascii="Times New Roman" w:hAnsi="Times New Roman" w:eastAsia="宋体"/>
        </w:rPr>
        <w:t>/SHA-256核验维护稳定数据标识与内容完整性，并以统一读取、陆面参数融合和气象驱动组织连接标准数据与模型接口。</w:t>
      </w:r>
    </w:p>
    <w:p>
      <w:r>
        <w:rPr>
          <w:rFonts w:ascii="Times New Roman" w:hAnsi="Times New Roman" w:eastAsia="宋体"/>
        </w:rPr>
        <w:t>真实产品与分层实验为三个环节提供了对应证据。OISST V2.1产品从四维源结构生成1440×720标准海表温度产品，坐标、有效值掩膜和691 150个物理值与独立参考逐点一致。对于内部压缩的ELEV和LAI，直接NetCDF在环境A中将缓存预热后的端到端中位时间分别降低48.3%和82.9%，在环境B中分别降低53.6%和69.2%；校园网内4个代表性产品通过FTP与Zenodo完成24次内容一致的双镜像获取。US-NR1案例中，14类陆面产品与8类ERA5逐时产品形成参数和气象驱动，8个气象字段的8784个时间步与底层NetCDF逐点一致，并完成Emerald初始化和60 s首步计算。</w:t>
      </w:r>
    </w:p>
    <w:p>
      <w:r>
        <w:rPr>
          <w:rFonts w:ascii="Times New Roman" w:hAnsi="Times New Roman" w:eastAsia="宋体"/>
        </w:rPr>
        <w:t>这些结果表明，GriddingMachine能够把异构源数据生产、标准产品登记与内容完整性核验以及模式输入组织连接为连续数据路径。该框架为数据产品、分发目录和访问软件的独立维护建立统一接口，并为全球网格数据持续扩展、可靠获取和地球系统模式应用提供可复用的基础设施。</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论文补充材料、实验协议、脚本和结果公开于https://github.com/jhOo1/GriddingMachine_Reaserach。ERA5案例的逐文件大小与SHA-256、格点统计、时间轴核对和模型状态保存在</w:t>
      </w:r>
      <w:r>
        <w:rPr>
          <w:rFonts w:ascii="Consolas" w:hAnsi="Consolas" w:eastAsia="等线"/>
        </w:rPr>
        <w:t>experiment_data/03_09/real_era5_result.toml</w:t>
      </w:r>
      <w:r>
        <w:rPr>
          <w:rFonts w:ascii="Times New Roman" w:hAnsi="Times New Roman" w:eastAsia="宋体"/>
        </w:rPr>
        <w:t>；PPT修订文件以V1_R1后缀发布，逻辑标签保持V1，目录记录其文件大小、SHA-256和机构FTP地址。论文所对应的核心代码版本分别以</w:t>
      </w:r>
      <w:r>
        <w:rPr>
          <w:rFonts w:ascii="Consolas" w:hAnsi="Consolas" w:eastAsia="等线"/>
        </w:rPr>
        <w:t>griddingmachine-paper-2026-v1</w:t>
      </w:r>
      <w:r>
        <w:rPr>
          <w:rFonts w:ascii="Times New Roman" w:hAnsi="Times New Roman" w:eastAsia="宋体"/>
        </w:rPr>
        <w:t>、</w:t>
      </w:r>
      <w:r>
        <w:rPr>
          <w:rFonts w:ascii="Consolas" w:hAnsi="Consolas" w:eastAsia="等线"/>
        </w:rPr>
        <w:t>griddingmachine-datasets-paper-2026-v1</w:t>
      </w:r>
      <w:r>
        <w:rPr>
          <w:rFonts w:ascii="Times New Roman" w:hAnsi="Times New Roman" w:eastAsia="宋体"/>
        </w:rPr>
        <w:t>和</w:t>
      </w:r>
      <w:r>
        <w:rPr>
          <w:rFonts w:ascii="Consolas" w:hAnsi="Consolas" w:eastAsia="等线"/>
        </w:rPr>
        <w:t>emerald-paper-2026-v1</w:t>
      </w:r>
      <w:r>
        <w:rPr>
          <w:rFonts w:ascii="Times New Roman" w:hAnsi="Times New Roman" w:eastAsia="宋体"/>
        </w:rPr>
        <w:t>标签固定。研究材料的内容冻结提交、冻结分支及不可变稿件标签由</w:t>
      </w:r>
      <w:r>
        <w:rPr>
          <w:rFonts w:ascii="Consolas" w:hAnsi="Consolas" w:eastAsia="等线"/>
        </w:rPr>
        <w:t>论文/投稿版本锁定.toml</w:t>
      </w:r>
      <w:r>
        <w:rPr>
          <w:rFonts w:ascii="Times New Roman" w:hAnsi="Times New Roman" w:eastAsia="宋体"/>
        </w:rPr>
        <w:t>统一记录；永久归档与DOI信息随最终归档版本同步发布。</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姜皓：概念设计、方法设计、软件、数据整理、可视化、初稿撰写。王玉杰：概念设计、研究指导、项目管理、论文审阅与修改。</w:t>
      </w:r>
    </w:p>
    <w:p>
      <w:pPr>
        <w:pStyle w:val="Heading1"/>
      </w:pPr>
      <w:r>
        <w:rPr>
          <w:rFonts w:ascii="Times New Roman" w:hAnsi="Times New Roman" w:eastAsia="宋体"/>
        </w:rPr>
        <w:t>利益冲突声明</w:t>
      </w:r>
    </w:p>
    <w:p>
      <w:r>
        <w:rPr>
          <w:rFonts w:ascii="Times New Roman" w:hAnsi="Times New Roman" w:eastAsia="宋体"/>
        </w:rPr>
        <w:t>作者声明不存在利益冲突。</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HERSBACH H, BELL B, BERRISFORD P, et al. The ERA5 global reanalysis[J]. Quarterly Journal of the Royal Meteorological Society, 2020, 146(730): 1999-2049. DOI: 10.1002/qj.3803.</w:t>
      </w:r>
    </w:p>
    <w:p>
      <w:r>
        <w:rPr>
          <w:rFonts w:ascii="Times New Roman" w:hAnsi="Times New Roman" w:eastAsia="宋体"/>
        </w:rPr>
        <w:t>[11] COPERNICUS CLIMATE CHANGE SERVICE. Conversion table for accumulated variables (total precipitation/fluxes): ERA5 reanalysis hourly data[EB/OL]. https://confluence.ecmwf.int/pages/viewpage.action?pageId=216478200.</w:t>
      </w:r>
    </w:p>
    <w:p>
      <w:r>
        <w:rPr>
          <w:rFonts w:ascii="Times New Roman" w:hAnsi="Times New Roman" w:eastAsia="宋体"/>
        </w:rPr>
        <w:t>[12]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[13] ABERNATHEY R P, AUGSPURGER T, BANIHIRWE A, et al. Cloud-native repositories for big scientific data[J]. Computing in Science &amp; Engineering, 2021, 23(2): 26-35. DOI: 10.1109/MCSE.2021.3059437.</w:t>
      </w:r>
    </w:p>
    <w:p>
      <w:r>
        <w:rPr>
          <w:rFonts w:ascii="Times New Roman" w:hAnsi="Times New Roman" w:eastAsia="宋体"/>
        </w:rPr>
        <w:t>[14] STERN C, ABERNATHEY R, HAMMAN J, et al. Pangeo Forge: Crowdsourcing analysis-ready, cloud optimized data production[J]. Frontiers in Climate, 2022, 3: 782909. DOI: 10.3389/fclim.2021.782909.</w:t>
      </w:r>
    </w:p>
    <w:p>
      <w:r>
        <w:rPr>
          <w:rFonts w:ascii="Times New Roman" w:hAnsi="Times New Roman" w:eastAsia="宋体"/>
        </w:rPr>
        <w:t>[15]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宋体"/>
        </w:rPr>
        <w:t>[16] UIEDA L, SOLER S R, RAMPIN R, et al. Pooch: A friend to fetch your data files[J]. Journal of Open Source Software, 2020, 5(45): 1943. DOI: 10.21105/joss.01943.</w:t>
      </w:r>
    </w:p>
    <w:p>
      <w:r>
        <w:rPr>
          <w:rFonts w:ascii="Times New Roman" w:hAnsi="Times New Roman" w:eastAsia="宋体"/>
        </w:rPr>
        <w:t>[17] OPEN GEOSPATIAL CONSORTIUM. SpatioTemporal Asset Catalog (STAC) Community Standard, Version 1.1.0[S/OL]. OGC 25-004, 2025[2026-08-15]. https://www.ogc.org/standards/stac/.</w:t>
      </w:r>
    </w:p>
    <w:p>
      <w:r>
        <w:rPr>
          <w:rFonts w:ascii="Times New Roman" w:hAnsi="Times New Roman" w:eastAsia="宋体"/>
        </w:rPr>
        <w:t>[18] BARKER M, CHUE HONG N P, KATZ D S, et al. Introducing the FAIR Principles for research software[J]. Scientific Data, 2022, 9: 622. DOI: 10.1038/s41597-022-01710-x.</w:t>
      </w:r>
    </w:p>
    <w:p>
      <w:r>
        <w:rPr>
          <w:rFonts w:ascii="Times New Roman" w:hAnsi="Times New Roman" w:eastAsia="宋体"/>
        </w:rPr>
        <w:t>[19] LIN D, CRABTREE J, DILLO I, et al. The TRUST Principles for digital repositories[J]. Scientific Data, 2020, 7: 144. DOI: 10.1038/s41597-020-0486-7.</w:t>
      </w:r>
    </w:p>
    <w:p>
      <w:r>
        <w:rPr>
          <w:rFonts w:ascii="Times New Roman" w:hAnsi="Times New Roman" w:eastAsia="宋体"/>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