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pPr>
        <w:keepNext/>
        <w:spacing w:after="80"/>
        <w:ind w:firstLine="0"/>
        <w:jc w:val="center"/>
      </w:pPr>
      <w:r>
        <w:rPr>
          <w:rFonts w:ascii="Times New Roman" w:hAnsi="Times New Roman" w:eastAsia="Songti SC"/>
          <w:b/>
        </w:rPr>
        <w:t>姜皓</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王玉杰</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中国科学技术大学风云卫星遥感联合实验室</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崂山实验室</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通讯作者（wyujie@ustc.edu.cn）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不同数据源在处理规则、单位、数据标识和网络分发方式等方面仍存在差异，研究人员往往需要针对各自模式重复整理和维护数据库，增加了模式持续更新与验证的工作量。本文在2022版GriddingMachine基础上，围绕数据预处理、分发和读取进行改进。通过共享配置统一组织数据处理规则，使不同来源的数据能够按一致规范完成标准化；采用直接NetCDF分发和独立维护的数据目录，简化数据获取与更新；进一步将多源数据组织为陆面参数和气象驱动，为模式计算提供输入。应用案例表明，改进后的流程能够保持标准化结果与独立参考的一致性，缩短数据获取至首次读取的时间，并在数据修订后沿用已有标签访问，支持多源数据向模式输入的衔接。此外，完善了Matlab、Octave、Python和R语言对新版数据的自动下载支持，并新增C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pPr>
        <w:keepNext/>
        <w:spacing w:after="80"/>
        <w:ind w:firstLine="0"/>
        <w:jc w:val="center"/>
      </w:pPr>
      <w:r>
        <w:rPr>
          <w:rFonts w:ascii="Times New Roman" w:hAnsi="Times New Roman" w:eastAsia="Songti SC"/>
          <w:b/>
        </w:rPr>
        <w:t>A Global Gridded Database for Earth System Models: Advances and Applications of GriddingMachine</w:t>
      </w:r>
    </w:p>
    <w:p>
      <w:pPr>
        <w:keepNext/>
        <w:spacing w:after="80"/>
        <w:ind w:firstLine="0"/>
        <w:jc w:val="center"/>
      </w:pPr>
      <w:r>
        <w:rPr>
          <w:rFonts w:ascii="Times New Roman" w:hAnsi="Times New Roman" w:eastAsia="Songti SC"/>
          <w:b/>
        </w:rPr>
        <w:t>Hao JIANG</w:t>
      </w:r>
      <w:r>
        <w:rPr>
          <w:rFonts w:ascii="Times New Roman" w:hAnsi="Times New Roman" w:eastAsia="Songti SC"/>
          <w:b w:val="0"/>
          <w:vertAlign w:val="superscript"/>
        </w:rPr>
        <w:t>1,2</w:t>
      </w:r>
      <w:r>
        <w:rPr>
          <w:rFonts w:ascii="Times New Roman" w:hAnsi="Times New Roman" w:eastAsia="Songti SC"/>
          <w:b w:val="0"/>
        </w:rPr>
        <w:t xml:space="preserve">, </w:t>
      </w:r>
      <w:r>
        <w:rPr>
          <w:rFonts w:ascii="Times New Roman" w:hAnsi="Times New Roman" w:eastAsia="Songti SC"/>
          <w:b/>
        </w:rPr>
        <w:t>Yujie WANG</w:t>
      </w:r>
      <w:r>
        <w:rPr>
          <w:rFonts w:ascii="Times New Roman" w:hAnsi="Times New Roman" w:eastAsia="Songti SC"/>
          <w:b w:val="0"/>
          <w:vertAlign w:val="superscript"/>
        </w:rPr>
        <w:t>1,2,*</w:t>
      </w:r>
    </w:p>
    <w:p>
      <w:pPr>
        <w:keepNext/>
        <w:spacing w:after="80"/>
        <w:ind w:firstLine="0"/>
        <w:jc w:val="center"/>
      </w:pPr>
      <w:r>
        <w:rPr>
          <w:rFonts w:ascii="Times New Roman" w:hAnsi="Times New Roman" w:eastAsia="Songti SC"/>
          <w:b w:val="0"/>
          <w:vertAlign w:val="superscript"/>
        </w:rPr>
        <w:t>1</w:t>
      </w:r>
      <w:r>
        <w:rPr>
          <w:rFonts w:ascii="Times New Roman" w:hAnsi="Times New Roman" w:eastAsia="Songti SC"/>
          <w:b w:val="0"/>
        </w:rPr>
        <w:t xml:space="preserve"> Joint Laboratory of Fengyun Remote Sensing, University of Science and Technology of China</w:t>
      </w:r>
    </w:p>
    <w:p>
      <w:pPr>
        <w:keepNext/>
        <w:spacing w:after="80"/>
        <w:ind w:firstLine="0"/>
        <w:jc w:val="center"/>
      </w:pPr>
      <w:r>
        <w:rPr>
          <w:rFonts w:ascii="Times New Roman" w:hAnsi="Times New Roman" w:eastAsia="Songti SC"/>
          <w:b w:val="0"/>
          <w:vertAlign w:val="superscript"/>
        </w:rPr>
        <w:t>2</w:t>
      </w:r>
      <w:r>
        <w:rPr>
          <w:rFonts w:ascii="Times New Roman" w:hAnsi="Times New Roman" w:eastAsia="Songti SC"/>
          <w:b w:val="0"/>
        </w:rPr>
        <w:t xml:space="preserve"> Laoshan Laboratory</w:t>
      </w:r>
    </w:p>
    <w:p>
      <w:pPr>
        <w:keepNext/>
        <w:spacing w:after="80"/>
        <w:ind w:firstLine="0"/>
        <w:jc w:val="center"/>
      </w:pPr>
      <w:r>
        <w:rPr>
          <w:rFonts w:ascii="Times New Roman" w:hAnsi="Times New Roman" w:eastAsia="Songti SC"/>
          <w:b w:val="0"/>
          <w:vertAlign w:val="superscript"/>
        </w:rPr>
        <w:t>*</w:t>
      </w:r>
      <w:r>
        <w:rPr>
          <w:rFonts w:ascii="Times New Roman" w:hAnsi="Times New Roman" w:eastAsia="Songti SC"/>
          <w:b w:val="0"/>
        </w:rPr>
        <w:t xml:space="preserve"> Corresponding author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data sources still differ in processing rules, units, data identifiers, and distribution methods. Researchers therefore often need to organize and maintain databases for individual models, adding to the work required for continued model development and evaluation. Building on the 2022 release of GriddingMachine, this study improves data preprocessing, distribution, and reading. Shared configurations organize processing rules so that data from different sources can be standardized according to common conventions. Direct NetCDF distribution and an independently maintained catalog simplify data acquisition and updates, while land parameters and meteorological forcing are assembled from multiple sources to provide model inputs. Application cases show that the improved workflow maintains agreement between standardized results and independent references, shortens the time from data acquisition to the first read, preserves access through existing labels after data revisions, and connects data from multiple sources to model inputs. Automatic downloading of the updated data has also been improved for MATLAB, Octave, Python, and R, with new support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通过数据标签和软件包内的Artifacts.toml目录实现管理与自动下载，并提供Julia、Matlab、Octave、Python和R接口。该版本为多源数据的统一访问奠定了基础。随着数据类型和应用需求扩展，原有流程在数据维护和模式接入方面仍有改进空间。处理规则主要保存在数据源专用脚本中，新增数据需要分别适配；标准NetCDF经外层tar.gz归档后分发，使用前还需解包。Julia包内的数据目录随软件版本更新，新增或修订数据时需同步维护内置目录。获得标准网格数据后，研究人员仍需根据具体模式组合参数和气象序列，并完成时间与单位换算。</w:t>
      </w:r>
    </w:p>
    <w:p>
      <w:r>
        <w:rPr>
          <w:rFonts w:ascii="Times New Roman" w:hAnsi="Times New Roman" w:eastAsia="Songti SC"/>
          <w:b w:val="0"/>
        </w:rPr>
        <w:t>针对这些需求，改进应围绕数据转换规则的复用、分发信息的独立维护及模式输入的组织展开。源数据特有的转换规则与通用程序分开，可使新增数据沿用已有处理方法；数据目录独立维护并直接分发NetCDF，可减少更新与获取时的附加步骤；在标准网格读取之后统一处理参数组合、时间轴和单位关系，则可减少各模式重复编写数据接入程序。标准NetCDF和数据标签为这些环节提供共同约定，使处理结果能够持续用于模式试验。</w:t>
      </w:r>
    </w:p>
    <w:p>
      <w:r>
        <w:rPr>
          <w:rFonts w:ascii="Times New Roman" w:hAnsi="Times New Roman" w:eastAsia="Songti SC"/>
          <w:b w:val="0"/>
        </w:rPr>
        <w:t>本文从数据预处理、分发与读取三个方面更新2022版GriddingMachine，通过共享处理规则和独立维护数据目录减少重复整理，并在统一读取基础上组织模式输入。同时完善Matlab、Octave、Python和R对新版数据的自动下载支持，新增C和Fortran自动下载支持。研究采用受控处理实例和真实海表温度数据检验标准化结果，以高程与叶面积指数数据比较分发效率，并通过网络镜像获取核对文件内容的一致性；最后以Emerald陆面过程模式为例，考察陆面参数与逐时气象数据如何形成模式输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分发和模式应用的职责划分为三个相互衔接的功能层（图1）。数据生产与标准化层根据源数据和文本配置格式YAML记录的处理规则，完成维度、坐标与数值转换，经质量检查后输出标准NetCDF文件。数据目录与可信分发层登记数据标签、版本、镜像和完整性信息，负责目录更新、文件下载与内容核验。模式输入组织层读取已获取的标准化数据，提取目标格点，融合陆面参数并组织气象驱动。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三个功能层通过标准NetCDF和数据标签连接。生产流程输出以标签命名的文件，数据目录记录标签对应的文件地址，科研程序据此获取和读取数据。源数据变化时更新处理配置，分发位置变化时调整目录，模式程序则沿用统一读取方式，并根据自身接口组织输入。这样，处理规则、分发信息和模式接入程序可以分别维护。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Julia包内置</w:t>
            </w:r>
            <w:r>
              <w:rPr>
                <w:rFonts w:ascii="Consolas" w:hAnsi="Consolas" w:eastAsia="Songti SC"/>
                <w:sz w:val="18"/>
              </w:rPr>
              <w:t>Artifacts.toml</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完善Matlab、Octave、Python和R自动下载，新增C和Fortran支持；各下载入口均支持URL或数据标签调用及文件完整性核验</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不同科研编程环境共享数据获取方式与内容核验规则</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GriddingMachine采用NetCDF格式保存多维数组、坐标和自描述元数据，便于不同地球科学软件读取[2]。2022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[5]。新版保留这些约定，并进一步规范源维度映射、处理记录、配置归档和分发完整性信息，使处理程序、数据文件和获取接口能够使用同一套规则（表2）。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处理规则与实际执行记录可相互核对</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利用归档的配置、输入与代码环境复现处理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带完整性信息的下载文件通过核验后才替换本地正式文件；已有条目按其登记信息获取</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以常数或均值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记录各数据源的输入文件、变量及转换规则，使数据源特有的处理要求可以独立于通用程序维护。框架提供程序化和本地交互式两种配置生成方式，均在执行前检查必需信息、字段类型及相互关系，再由标准化处理函数</w:t>
      </w:r>
      <w:r>
        <w:rPr>
          <w:rFonts w:ascii="Consolas" w:hAnsi="Consolas" w:eastAsia="Songti SC"/>
        </w:rPr>
        <w:t>process_dataset!</w:t>
      </w:r>
      <w:r>
        <w:rPr>
          <w:rFonts w:ascii="Times New Roman" w:hAnsi="Times New Roman" w:eastAsia="Songti SC"/>
          <w:b w:val="0"/>
        </w:rPr>
        <w:t>完成转换。新增数据时，贡献者可以通过配置明确相应规则，复用已有处理流程。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程序还生成带经纬度坐标轴的空间方向图，供人工确认数据与坐标的对应关系，补充自动结构检查。每种配置首次使用时的方向确认结果随配置保存。</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，存在不确定性时追加形状相同的</w:t>
      </w:r>
      <w:r>
        <w:rPr>
          <w:rFonts w:ascii="Consolas" w:hAnsi="Consolas" w:eastAsia="Songti SC"/>
        </w:rPr>
        <w:t>std</w:t>
      </w:r>
      <w:r>
        <w:rPr>
          <w:rFonts w:ascii="Times New Roman" w:hAnsi="Times New Roman" w:eastAsia="Songti SC"/>
          <w:b w:val="0"/>
        </w:rPr>
        <w:t>，文件按表2所列标签规则命名。实际执行的转换记录在NetCDF变量属性中，完整YAML、固定输入和版本化项目环境与输出一同归档，以便追溯数据来源、处理规则和生成环境。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更新目录和管理本地缓存。远端目录通过结构与字段校验后替换本地目录，同时保留上一有效版本。目录条目记录本地相对路径、候选下载地址及完整性信息；对于已有条目，模块依据其登记字段保留兼容访问方式。更新后的目录因此仍可供科研程序按标签查找和获取数据。</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镜像选择和内容核验采用不同的信息：镜像地址与访问延迟决定下载尝试顺序，数据标识与完整性字段用于确认文件内容。分发地址变化时，只需调整目录中的候选镜像，科研程序仍可按原标签获取相同内容的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可按本地NetCDF路径或数据标签访问数据，支持读取文件覆盖的全部空间网格、指定周期的空间切片，以及站点的全部周期或指定周期数据，共4种方式。按标签调用时，目录模块自动获取对应文件。接口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或形状相同的不确定性变量</w:t>
      </w:r>
      <w:r>
        <w:rPr>
          <w:rFonts w:ascii="Consolas" w:hAnsi="Consolas" w:eastAsia="Songti SC"/>
        </w:rPr>
        <w:t>std</w:t>
      </w:r>
      <w:r>
        <w:rPr>
          <w:rFonts w:ascii="Times New Roman" w:hAnsi="Times New Roman" w:eastAsia="Songti SC"/>
          <w:b w:val="0"/>
        </w:rPr>
        <w:t>。各读取方式采用一致的维度、单位和缺失值约定，便于后续组合模式输入。</w:t>
      </w:r>
    </w:p>
    <w:p>
      <w:r>
        <w:rPr>
          <w:rFonts w:ascii="Times New Roman" w:hAnsi="Times New Roman" w:eastAsia="Songti SC"/>
          <w:b w:val="0"/>
        </w:rPr>
        <w:t>站点读取根据全球规则经纬网的分辨率，将目标经纬度换算为数组索引。输入文件的维度顺序为</w:t>
      </w:r>
      <w:r>
        <w:rPr>
          <w:rFonts w:ascii="Consolas" w:hAnsi="Consolas" w:eastAsia="Songti SC"/>
        </w:rPr>
        <w:t>(lon,lat[,ind])</w:t>
      </w:r>
      <w:r>
        <w:rPr>
          <w:rFonts w:ascii="Times New Roman" w:hAnsi="Times New Roman" w:eastAsia="Songti SC"/>
          <w:b w:val="0"/>
        </w:rPr>
        <w:t>，经度自西向东、纬度自南向北排列。接口直接提取对应格点的数据；区域投影、非规则网格转换和空间插值可在数据生产与标准化层完成。周期索引表示月份、日期还是小时，由相应数据的元数据说明。</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由同一目标位置和年度的多源数据组合而成。接口从预定义集合中提取土壤、冠层、叶片、地形、陆地掩膜和植物功能型数据，按各自网格分辨率定位目标格点，再依据陆面状态融合参数。叶面积指数、叶绿素、冠层聚集度和最大羧化速率等季节序列统一到逐日时间轴。完成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分别按采用C3和C4光合途径的植物组织[6,7]。C3参数按格点内对应植物功能型的比例归一化加权，C4参数从相应类型的参数表提取，以保留两类植物的参数差异。叶片羧化能力与电子传递能力的关联为光合参数组织提供依据[8]。本研究采用GriddingMachine模式输入接口的固定比例参数化，根据25 ℃下最大羧化速率</w:t>
      </w:r>
      <w:r>
        <w:rPr>
          <w:rFonts w:ascii="Consolas" w:hAnsi="Consolas" w:eastAsia="Songti SC"/>
        </w:rPr>
        <w:t>VCMAX25</w:t>
      </w:r>
      <w:r>
        <w:rPr>
          <w:rFonts w:ascii="Times New Roman" w:hAnsi="Times New Roman" w:eastAsia="Songti SC"/>
          <w:b w:val="0"/>
        </w:rPr>
        <w:t>计算最大电子传递速率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包括位置、分辨率、年份、二氧化碳（CO₂）、土壤水力性质、冠层结构、植物功能型组成、叶片生物物理和光合参数，同时检查字段是否完整以及缺失值标记</w:t>
      </w:r>
      <w:r>
        <w:rPr>
          <w:rFonts w:ascii="Consolas" w:hAnsi="Consolas" w:eastAsia="Songti SC"/>
        </w:rPr>
        <w:t>NaN</w:t>
      </w:r>
      <w:r>
        <w:rPr>
          <w:rFonts w:ascii="Times New Roman" w:hAnsi="Times New Roman" w:eastAsia="Songti SC"/>
          <w:b w:val="0"/>
        </w:rPr>
        <w:t>的分布。经过上述处理，多源数据形成结构一致的格点级模式输入。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和气象驱动接口则将这些数值按字段、时间与量纲关系组织为模式输入。本文所称“模式就绪”，是指标准化数据经过格点提取、参数融合、时间轴构建和量纲换算后，能够满足Emerald初始化接口的数据结构要求。2022版主要通过标签提供基础数据访问[5]，新版进一步组合多源数据，形成可由模式直接调用的输入，使科研程序能够复用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完善Matlab、Octave、Python和R的数据自动下载接口，并新增C和Fortran支持。各接口均可通过文件URL或数据标签指定所需数据；标签调用依据本地Artifacts.yaml查找分发地址，并在镜像不可用或内容核验未通过时尝试其余地址。下载先保存为临时文件，依据目录或调用参数中的文件大小和SHA-256完成核验后，再更新本地目标文件；获取失败时保留已有文件。</w:t>
      </w:r>
    </w:p>
    <w:p>
      <w:r>
        <w:rPr>
          <w:rFonts w:ascii="Times New Roman" w:hAnsi="Times New Roman" w:eastAsia="Songti SC"/>
          <w:b w:val="0"/>
        </w:rPr>
        <w:t>各语言接口共用Python下载程序，使用时需要Python 3运行环境。不同语言的科研程序因此可以按相同的数据标签和镜像信息获取标准NetCDF文件，采用一致的完整性核验规则，再使用各自的NetCDF工具读取数据。下载程序集中维护，减少了在不同编程环境中重复实现文件获取和内容核验的工作。接口调用示例见补充材料S5。</w:t>
      </w:r>
    </w:p>
    <w:p>
      <w:pPr>
        <w:pStyle w:val="Heading1"/>
      </w:pPr>
      <w:r>
        <w:rPr>
          <w:rFonts w:ascii="Times New Roman" w:hAnsi="Times New Roman" w:eastAsia="Songti SC"/>
          <w:b w:val="0"/>
        </w:rPr>
        <w:t>3 应用案例与评价方法</w:t>
      </w:r>
    </w:p>
    <w:p>
      <w:r>
        <w:rPr>
          <w:rFonts w:ascii="Times New Roman" w:hAnsi="Times New Roman" w:eastAsia="Songti SC"/>
          <w:b w:val="0"/>
        </w:rPr>
        <w:t>应用案例分别考察数据标准化、分发和模式接入中的改进效果。受控处理实例与真实最优插值海表温度数据（Optimum Interpolation Sea Surface Temperature，OISST）用于检验统一流程对维度、坐标和数值差异的处理；ELEV与叶面积指数数据（Leaf Area Index，LAI）用于比较有无外层归档时的数据获取和首次读取时间，网络镜像实验进一步核对不同地址所提供文件的一致性。北美通量观测站US-NR1附近格点的陆面参数与气象驱动用于考察多源数据能否形成模式输入，并通过跨操作系统测试检查核心流程的运行一致性。各案例与评价指标见表3。</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Windows、macOS、Linux持续集成；六种语言的URL与标签下载、镜像回退和完整性核验</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Windows/macOS独立性能观测；真实网络与数据案例</w:t>
            </w:r>
          </w:p>
        </w:tc>
        <w:tc>
          <w:tcPr>
            <w:tcW w:type="dxa" w:w="1757"/>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检验YAML驱动流程能否正确处理多维网格数据，本文构造以空间位置编码的参考数组：二维数组的值由经纬度索引共同确定，三维数组进一步加入周期索引。数组值与位置之间的对应关系已知，因此可逐点核对维度交换、方向翻转、经度平移和周期组织后的结果。</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经度平移后的逐点对应关系。数值处理依据设定规则核对线性缩放、范围过滤和缺失值填补结果。配置一致性与流程复用则核对字段与变量数量、</w:t>
      </w:r>
      <w:r>
        <w:rPr>
          <w:rFonts w:ascii="Consolas" w:hAnsi="Consolas" w:eastAsia="Songti SC"/>
        </w:rPr>
        <w:t>data/std</w:t>
      </w:r>
      <w:r>
        <w:rPr>
          <w:rFonts w:ascii="Times New Roman" w:hAnsi="Times New Roman" w:eastAsia="Songti SC"/>
          <w:b w:val="0"/>
        </w:rPr>
        <w:t>的保存结果，以及已有数据集与标签的状态，确认配置生成、重复执行与目录登记是否遵循同一约定。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并执行标准化，再将输出与参考数组比较。数据贡献案例进一步覆盖配置生成、自动与人工质量检查、发布、目录登记，以及下游目录更新、下载和读取，以检验处理结果能否在各环节间连续使用。</w:t>
      </w:r>
    </w:p>
    <w:p>
      <w:r>
        <w:rPr>
          <w:rFonts w:ascii="Times New Roman" w:hAnsi="Times New Roman" w:eastAsia="Songti SC"/>
          <w:b w:val="0"/>
        </w:rPr>
        <w:t>ELEV重复处理案例以已有标准NetCDF为输入，先比较统一读取与底层NetCDF读取所得的数组和坐标，再采用显式标准维度、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及不执行缩放和范围裁剪的配置连续处理3次。比较各次输出的</w:t>
      </w:r>
      <w:r>
        <w:rPr>
          <w:rFonts w:ascii="Consolas" w:hAnsi="Consolas" w:eastAsia="Songti SC"/>
        </w:rPr>
        <w:t>data/lon/lat</w:t>
      </w:r>
      <w:r>
        <w:rPr>
          <w:rFonts w:ascii="Times New Roman" w:hAnsi="Times New Roman" w:eastAsia="Songti SC"/>
          <w:b w:val="0"/>
        </w:rPr>
        <w:t>与输入，并核对输出文件的SHA-256，以检验重复处理是否保持数据值和空间结构。</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独立参考流程直接读取未缩放的Int16存储值，根据原始NetCDF中的缩放因子</w:t>
      </w:r>
      <w:r>
        <w:rPr>
          <w:rFonts w:ascii="Consolas" w:hAnsi="Consolas" w:eastAsia="Songti SC"/>
        </w:rPr>
        <w:t>scale_factor</w:t>
      </w:r>
      <w:r>
        <w:rPr>
          <w:rFonts w:ascii="Times New Roman" w:hAnsi="Times New Roman" w:eastAsia="Songti SC"/>
          <w:b w:val="0"/>
        </w:rPr>
        <w:t>、偏移量</w:t>
      </w:r>
      <w:r>
        <w:rPr>
          <w:rFonts w:ascii="Consolas" w:hAnsi="Consolas" w:eastAsia="Songti SC"/>
        </w:rPr>
        <w:t>add_offset</w:t>
      </w:r>
      <w:r>
        <w:rPr>
          <w:rFonts w:ascii="Times New Roman" w:hAnsi="Times New Roman" w:eastAsia="Songti SC"/>
          <w:b w:val="0"/>
        </w:rPr>
        <w:t>和填充值</w:t>
      </w:r>
      <w:r>
        <w:rPr>
          <w:rFonts w:ascii="Consolas" w:hAnsi="Consolas" w:eastAsia="Songti SC"/>
        </w:rPr>
        <w:t>_FillValue</w:t>
      </w:r>
      <w:r>
        <w:rPr>
          <w:rFonts w:ascii="Times New Roman" w:hAnsi="Times New Roman" w:eastAsia="Songti SC"/>
          <w:b w:val="0"/>
        </w:rPr>
        <w:t>计算物理值与缺失值掩膜，并独立计算目标经度索引。参考结果记录全域统计量、10个确定性有效格点和10个缺失格点。标准化数据连续生成3次，逐点比较坐标、有效值掩膜和物理值。随后根据标准NetCDF文件建立包含逻辑路径、镜像地址、字节数和SHA-256的目录条目，通过回环HTTP执行事务式下载，再由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分发效率比较采用二维静态高程数据集</w:t>
      </w:r>
      <w:r>
        <w:rPr>
          <w:rFonts w:ascii="Consolas" w:hAnsi="Consolas" w:eastAsia="Songti SC"/>
        </w:rPr>
        <w:t>ELEV_4X_1Y_V1</w:t>
      </w:r>
      <w:r>
        <w:rPr>
          <w:rFonts w:ascii="Times New Roman" w:hAnsi="Times New Roman" w:eastAsia="Songti SC"/>
          <w:b w:val="0"/>
        </w:rPr>
        <w:t>和三维8日尺度叶面积指数数据集</w:t>
      </w:r>
      <w:r>
        <w:rPr>
          <w:rFonts w:ascii="Consolas" w:hAnsi="Consolas" w:eastAsia="Songti SC"/>
        </w:rPr>
        <w:t>LAI_MODIS_2X_8D_2020_V1</w:t>
      </w:r>
      <w:r>
        <w:rPr>
          <w:rFonts w:ascii="Times New Roman" w:hAnsi="Times New Roman" w:eastAsia="Songti SC"/>
          <w:b w:val="0"/>
        </w:rPr>
        <w:t>，代表不同规模和维度的内部压缩数据。每个标准NetCDF分别以原始</w:t>
      </w:r>
      <w:r>
        <w:rPr>
          <w:rFonts w:ascii="Consolas" w:hAnsi="Consolas" w:eastAsia="Songti SC"/>
        </w:rPr>
        <w:t>.nc</w:t>
      </w:r>
      <w:r>
        <w:rPr>
          <w:rFonts w:ascii="Times New Roman" w:hAnsi="Times New Roman" w:eastAsia="Songti SC"/>
          <w:b w:val="0"/>
        </w:rPr>
        <w:t>文件和包含同一文件的</w:t>
      </w:r>
      <w:r>
        <w:rPr>
          <w:rFonts w:ascii="Consolas" w:hAnsi="Consolas" w:eastAsia="Songti SC"/>
        </w:rPr>
        <w:t>tar.gz</w:t>
      </w:r>
      <w:r>
        <w:rPr>
          <w:rFonts w:ascii="Times New Roman" w:hAnsi="Times New Roman" w:eastAsia="Songti SC"/>
          <w:b w:val="0"/>
        </w:rPr>
        <w:t>归档分发，对照归档采用gzip级别6。直接分发的NetCDF与归档解包后的文件具有相同SHA-256，因此可在内容一致的条件下比较外层打包与解包所增加的时间和存储占用。</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实验考察数据修订后能否按原标签获取对应文件，以及获取异常时能否保留已有有效文件、重复获取时能否保持内容一致。实验使用不同版本的Artifacts.yaml、多个NetCDF文件和两个镜像端点，在目录更新与重复调用后比较获取结果、文件摘要和缓存状态，并与小型参考目录的预设结果核对。目录首次建立、全库同步、历史整理和状态查询等操作及其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另在中科大校内网分别从机构FTP与Zenodo公共存储获取文件，考察两类镜像的分发特点和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案例考察标准网格数据经过陆面参数融合和气象驱动组织后，能否用于Emerald初始化。首先利用确定性参考数据核对字段名、形状、类型、时间索引和缺失值处理，再采用2020年第二套陆面参数集合，分别为US-NR1研究站点附近的植被格点和典型非植被格点生成输入，检查不同陆面状态下的参数组织。</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各系统的测试项目及真实网络、US-NR1案例的运行环境见补充材料S5。</w:t>
      </w:r>
    </w:p>
    <w:p>
      <w:r>
        <w:rPr>
          <w:rFonts w:ascii="Times New Roman" w:hAnsi="Times New Roman" w:eastAsia="Songti SC"/>
          <w:b w:val="0"/>
        </w:rPr>
        <w:t>多语言下载评价考察Matlab、Octave、Python、R、C和Fortran科研程序能否按相同约定获取数据。在相应语言运行环境中，通过文件URL和数据标签获取回环HTTP提供的确定性参考文件，并核对文件字节数、SHA-256与二进制内容；首选镜像不可用、文件大小或摘要不符的情形用于检验镜像回退、错误返回和已有文件保留。含空格与特殊字符的路径及不同工作目录用于检查参数传递和接口调用。各语言环境、调用示例与结果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维度重排、坐标翻转、经度平移、数值转换及缺失值处理均得到相应参考结果，表明配置能够指导通用程序正确处理源数据差异。数据贡献案例经过配置生成、标准化、目录登记和下游读取后，所得数组仍与参考数组逐点一致，标准化结果在后续获取与读取过程中得到保持。</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经目录登记和回环HTTP获取后，字节数与SHA-256均与记录相符，统一读取结果也与独立参考逐点一致。这表明标准化后的数据在登记、下载和读取过程中保持不变，可由下游程序按同一标签重复获取和使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回退、缓存复用和内容核验结果均符合预设。首选镜像无法访问或未通过内容核验时，程序继续尝试后续镜像；下载失败时，已有正式文件的摘要保持不变。因此，切换镜像无需破坏本地有效缓存，下载异常时科研程序仍可读取已有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在ERA5降水单位属性由</w:t>
      </w:r>
      <w:r>
        <w:rPr>
          <w:rFonts w:ascii="Consolas" w:hAnsi="Consolas" w:eastAsia="Songti SC"/>
        </w:rPr>
        <w:t>mm</w:t>
      </w:r>
      <w:r>
        <w:rPr>
          <w:rFonts w:ascii="Times New Roman" w:hAnsi="Times New Roman" w:eastAsia="Songti SC"/>
          <w:b w:val="0"/>
        </w:rPr>
        <w:t>修订为</w:t>
      </w:r>
      <w:r>
        <w:rPr>
          <w:rFonts w:ascii="Consolas" w:hAnsi="Consolas" w:eastAsia="Songti SC"/>
        </w:rPr>
        <w:t>m</w:t>
      </w:r>
      <w:r>
        <w:rPr>
          <w:rFonts w:ascii="Times New Roman" w:hAnsi="Times New Roman" w:eastAsia="Songti SC"/>
          <w:b w:val="0"/>
        </w:rPr>
        <w:t>的案例中，独立目录将原逻辑标签</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记录修订后的字节数与SHA-256，同时分别保留原V1和R1文件。首次调用获取修订文件并通过完整性核验，后续调用则复用本地缓存。科研程序因此可沿用原标签访问修订数据，而各次试验实际使用的文件可由目录版本与摘要追溯。单位修订依据及模式换算见第4.4节。</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不同空间分辨率和时间尺度的14类陆面数据经统一组织，形成2020年US-NR1格点的34个模式字段，包含366日季节序列、4个土壤层和17个植物功能型。站点索引映射至40.5°N、105.5°W，高程、陆地掩膜与叶面积指数的读取结果一致。撒哈拉案例被识别为非植被格点，并按相应陆面状态组织参数，说明同一数据集合能够根据格点状态提供植被与非植被条件下的模式输入。各输入文件的大小、来源摘要和SHA-256均通过核验。</w:t>
      </w:r>
    </w:p>
    <w:p>
      <w:r>
        <w:rPr>
          <w:rFonts w:ascii="Times New Roman" w:hAnsi="Times New Roman" w:eastAsia="Songti SC"/>
          <w:b w:val="0"/>
        </w:rPr>
        <w:t>8类ERA5气象变量经统一读取，形成US-NR1格点2020年连续的年度逐小时序列。各源变量均为360×180×8784的经度、纬度和逐小时数组，并带有单位属性；站点的每类变量均得到8784个逐小时值，有限值比例为100%，与底层NetCDF读取结果的最大绝对差为0。地方平太阳时偏移为−7.0364 h，浮点年积日严格递增且与独立公式逐点一致。时间轴和8类气象变量共9个字段经Emerald接口适配后，组成16个模式驱动字段，完成从格点年度序列到模式所需变量的转换。逐文件大小与字段信息见补充材料S1。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s累计时段换算为摩尔通量，使数据单位与模式输入一致。完成参数组织、时间轴构建和量纲换算后，将真实陆面参数与气象驱动共同用于Emerald初始化和60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和GriddingMachineDatasets的确定性核心流程得到一致的数据结构、逐点数值和文件摘要，Emerald合成输入接口的状态均符合预设结果。不同系统能够沿用同一数据约定完成标准化、获取和模式输入组织，为科研程序在不同运行环境中使用这些数据提供支持；各系统测试项目与结果见补充材料S5。</w:t>
      </w:r>
    </w:p>
    <w:p>
      <w:r>
        <w:rPr>
          <w:rFonts w:ascii="Times New Roman" w:hAnsi="Times New Roman" w:eastAsia="Songti SC"/>
          <w:b w:val="0"/>
        </w:rPr>
        <w:t>Matlab、Octave、Python、R、C和Fortran接口通过URL或数据标签获取的文件均与参考内容一致。按标签下载时，首选镜像不可用后能够继续尝试其余镜像；文件大小或摘要不符时，接口返回错误并保留已有文件。这些结果表明，不同语言的科研程序可以共用数据目录和核验规则，自动获取标准化网格数据，无需分别编写下载与内容核验程序。</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通过统一网格、变量和标签提供多源数据访问[5]，本研究进一步关注数据持续更新中的重复维护。31组处理实例与OISST结果表明，源数据在维度、坐标和数值上的差异可由配置描述，并由通用程序处理；ELEV重复处理结果则表明，已有标准化数据经过同一流程后仍可保持原值。将处理规则与数据文件一同维护，使新增或更新数据能够复用已有转换程序。镜像调整或文件修订后，可单独更新目录中的分发信息，模式程序继续按标签访问数据。</w:t>
      </w:r>
    </w:p>
    <w:p>
      <w:r>
        <w:rPr>
          <w:rFonts w:ascii="Times New Roman" w:hAnsi="Times New Roman" w:eastAsia="Songti SC"/>
          <w:b w:val="0"/>
        </w:rPr>
        <w:t>数据库需要持续更新，既有试验也需要能够复现。ERA5降水修订案例说明，更新目录即可使已有标签指向修订文件；保存各次试验使用的目录、文件摘要、处理配置和代码版本，则能确定当时使用的数据及其转换过程。标签便于程序持续调用，归档记录保留具体试验的输入，两者共同支持数据更新和试验复现。</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带来的额外压缩收益较小，却增加了解包时间，以及归档文件与NetCDF文件同时保存时的存储占用。两个环境中的对照结果表明，直接NetCDF分发仅增加少量传输字节，即可缩短端到端时间并减少获取过程中的存储需求。对于一个标签对应一个文件的数据库，下载完成后即可读取，省去了科研调用前的解包操作。</w:t>
      </w:r>
    </w:p>
    <w:p>
      <w:r>
        <w:rPr>
          <w:rFonts w:ascii="Times New Roman" w:hAnsi="Times New Roman" w:eastAsia="Songti SC"/>
          <w:b w:val="0"/>
        </w:rPr>
        <w:t>数据质量检查关注维度、坐标、物理值、单位和缺失值处理是否符合约定，下载完整性核验则确认收到的文件是否与目录记录一致。OISST的独立解码比较和ERA5降水单位修订体现了数值与量纲检查的作用，受控镜像场景和真实网络下载记录则支持对获取内容的核验。两类检查结合后，既能追溯数据如何从源文件转换而来，也能确认科研程序实际读取了哪个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等累计量还需结合单位和累计时段换算为模式所需通量，使数据的物理含义与模式计算相衔接。将这些关系纳入统一的数据组织方法，能够减少各模式单独整理参数和气象输入的工作。</w:t>
      </w:r>
    </w:p>
    <w:p>
      <w:r>
        <w:rPr>
          <w:rFonts w:ascii="Times New Roman" w:hAnsi="Times New Roman" w:eastAsia="Songti SC"/>
          <w:b w:val="0"/>
        </w:rPr>
        <w:t>其他站点和年份可沿用上述读取与数据组织方法；接入不同模式时，可按其空间、时间和变量约定调整配置与适配接口。Julia接口用于组织模式输入，非Julia接口用于在已有科研程序中自动获取文件，研究人员可根据所用语言和计算任务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现有数据基础设施各有侧重。地球系统数据立方体着重多变量时空数据的联合分析[12]。GriddingMachine侧重共享数据在本地模式中的使用，将标准化、读取和模式适配组织为可由科研程序调用的流程，Julia实现便于组合这些处理方法[13]。Google Earth Engine提供云端遥感访问与计算[4]，ESGF支持分布式气候模式数据发现与访问[14]，Pangeo及Pangeo Forge支持云端数据组织和可复用处理配方[15,16]。本文的OISST和US-NR1案例分别展示了数据转换与本地模式应用：处理结果按统一空间约定保存，多源变量再按时间与量纲关系组合为陆面参数和气象驱动。</w:t>
      </w:r>
    </w:p>
    <w:p>
      <w:r>
        <w:rPr>
          <w:rFonts w:ascii="Times New Roman" w:hAnsi="Times New Roman" w:eastAsia="Songti SC"/>
          <w:b w:val="0"/>
        </w:rPr>
        <w:t>数据目录是查找和获取文件的依据。国内地球系统科学数据共享研究强调规范分类和目录建设[17]，Pooch提供科研文件获取工具，STAC提供地理空间目录描述规范[18,19]。本研究在标签对应的条目中同时记录分发地址和文件内容信息，使科研程序在镜像切换或数据修订后仍可使用原有调用方式。镜像获取和修订案例表明，这种组织方式便于本地模式持续使用共享数据；后续可进一步与通用目录规范和数据获取工具衔接。</w:t>
      </w:r>
    </w:p>
    <w:p>
      <w:r>
        <w:rPr>
          <w:rFonts w:ascii="Times New Roman" w:hAnsi="Times New Roman" w:eastAsia="Songti SC"/>
          <w:b w:val="0"/>
        </w:rPr>
        <w:t>模式使用多源数据时，还需要保存处理规则及其研究出处。软件引用原则、科研软件FAIR原则（FAIR4RS）及数字资源库TRUST原则为软件识别、复用与资源库维护提供参考[20-22]。本文将数据来源、配置和软件版本与处理结果共同归档，以便追溯OISST转换和模式输入组织所用的数据与方法。在扩展数据源配置、公共镜像和模式接口时，持续保存这些记录，有助于后续数据维护和科研复用。</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新版通过共享配置记录源数据处理规则，利用独立目录维护标签、分发地址和文件完整性信息，并将统一读取的数据进一步组织为陆面参数与气象驱动。同时完善Matlab、Octave、Python和R对新版数据的自动下载支持，新增C和Fortran支持，使不同编程环境能够通过URL或数据标签获取标准化文件。</w:t>
      </w:r>
    </w:p>
    <w:p>
      <w:r>
        <w:rPr>
          <w:rFonts w:ascii="Times New Roman" w:hAnsi="Times New Roman" w:eastAsia="Songti SC"/>
          <w:b w:val="0"/>
        </w:rPr>
        <w:t>受控实例和真实数据案例表明，标准化结果的坐标与物理值均与独立参考一致。直接NetCDF分发减少了解包时间和文件存储占用，缩短了获取至首次读取的时间。FTP—Zenodo镜像所提供的文件与目录登记的摘要一致，数据修订后仍可沿用原标签获取。陆面参数与ERA5逐时数据经组合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研究所用代码版本、多语言下载入口及验证记录、数据修订信息和实验结果索引见补充材料S8，精确提交与稿件冻结信息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