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宋体"/>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宋体"/>
        </w:rPr>
        <w:t>本文通过受控数据处理实例、真实网格数据标准化、网络镜像获取和模式输入案例，评价新版框架的数据一致性、可执行性和接口适配能力；同时适配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OISST（最优插值海表温度）实际数据用于进一步呈现共享生产契约对异构源结构的适配能力。案例采用NOAA/NCEI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直接NetCDF分发效率采用二维静态高程（ELEV）</w:t>
      </w:r>
      <w:r>
        <w:rPr>
          <w:rFonts w:ascii="Consolas" w:hAnsi="Consolas" w:eastAsia="等线"/>
        </w:rPr>
        <w:t>ELEV_4X_1Y_V1</w:t>
      </w:r>
      <w:r>
        <w:rPr>
          <w:rFonts w:ascii="Times New Roman" w:hAnsi="Times New Roman" w:eastAsia="宋体"/>
        </w:rPr>
        <w:t>和三维8日叶面积指数（LAI）</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