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作出优化：增加数据处理标准化流程，改进数据文件分发方式，完善数据目录与模式输入组织，并添加新的标准化数据及数据集。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new standardized datasets and dataset collections.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产品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artifact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配置规范表达源维度、坐标、数值变换和缺失值填补（Gapfill）以及质量控制；数据目录与获取层以逻辑标签连接数据副本，并对登记了文件字节数和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artifacts,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 xml:space="preserve"> artifact</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artifact哈希寻址、多个URL和解包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统一整场、周期和格点读取，并保留旧名称别名</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advances, and application value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Gapfill与范围</w:t>
            </w:r>
          </w:p>
        </w:tc>
        <w:tc>
          <w:tcPr>
            <w:tcW w:type="dxa" w:w="2948"/>
          </w:tcPr>
          <w:p>
            <w:r>
              <w:rPr>
                <w:sz w:val="18"/>
              </w:rPr>
            </w:r>
            <w:r>
              <w:rPr>
                <w:rFonts w:ascii="Times New Roman" w:hAnsi="Times New Roman" w:eastAsia="Songti SC"/>
                <w:sz w:val="18"/>
              </w:rPr>
              <w:t>有效范围、填充值和Gapfill策略由YAML显式声明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YAML声明维度、坐标、数值与Gapfill规则；NetCDF属性写入逐项变更记录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Gapfill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框架同时提供程序化和本地交互式配置生成方式。二者输出均经同一配置规范校验后进入</w:t>
      </w:r>
      <w:r>
        <w:rPr>
          <w:rFonts w:ascii="Consolas" w:hAnsi="Consolas" w:eastAsia="Songti SC"/>
        </w:rPr>
        <w:t>process_dataset!</w:t>
      </w:r>
      <w:r>
        <w:rPr>
          <w:rFonts w:ascii="Times New Roman" w:hAnsi="Times New Roman" w:eastAsia="Songti SC"/>
        </w:rPr>
        <w:t>，使数据贡献入口与生产流水线共享一致的字段语义。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生产流程在保存前检查维度、坐标、变量、数值范围和Gapfill结果，空间方向图进一步呈现坐标语义。质量控制完成后生成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。严格完整性模式要求后两项同时存在，兼容模式保持历史条目的标签访问；目录规范和获取逻辑对多URL与完整性字段采用统一表达。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植物功能型比例进一步用于融合C3/C4植被的叶片光学参数和Medlyn气孔参数，并由</w:t>
      </w:r>
      <w:r>
        <w:rPr>
          <w:rFonts w:ascii="Consolas" w:hAnsi="Consolas" w:eastAsia="Songti SC"/>
        </w:rPr>
        <w:t>VCMAX25</w:t>
      </w:r>
      <w:r>
        <w:rPr>
          <w:rFonts w:ascii="Times New Roman" w:hAnsi="Times New Roman" w:eastAsia="Songti SC"/>
        </w:rPr>
        <w:t>推导</w:t>
      </w:r>
      <w:r>
        <w:rPr>
          <w:rFonts w:ascii="Consolas" w:hAnsi="Consolas" w:eastAsia="Songti SC"/>
        </w:rPr>
        <w:t>JMAX25</w:t>
      </w:r>
      <w:r>
        <w:rPr>
          <w:rFonts w:ascii="Times New Roman" w:hAnsi="Times New Roman" w:eastAsia="Songti SC"/>
        </w:rPr>
        <w:t>和</w:t>
      </w:r>
      <w:r>
        <w:rPr>
          <w:rFonts w:ascii="Consolas" w:hAnsi="Consolas" w:eastAsia="Songti SC"/>
        </w:rPr>
        <w:t>B6F</w:t>
      </w:r>
      <w:r>
        <w:rPr>
          <w:rFonts w:ascii="Times New Roman" w:hAnsi="Times New Roman" w:eastAsia="Songti SC"/>
        </w:rPr>
        <w:t>。输出涵盖位置、分辨率、年份、CO₂、土壤水力性质、冠层结构、植物功能型组成、叶片生物物理和光合参数；字段完整性与</w:t>
      </w:r>
      <w:r>
        <w:rPr>
          <w:rFonts w:ascii="Consolas" w:hAnsi="Consolas" w:eastAsia="Songti SC"/>
        </w:rPr>
        <w:t>NaN</w:t>
      </w:r>
      <w:r>
        <w:rPr>
          <w:rFonts w:ascii="Times New Roman" w:hAnsi="Times New Roman" w:eastAsia="Songti SC"/>
        </w:rPr>
        <w:t>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Zenodo公共网络记录；校园网FTP—Zenodo同文件获取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经度平移、线性缩放、范围过滤、Gapfill、</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从维度、坐标、数值、Gapfill、YAML配置、输出和空间方向7个方面组织31组代表性处理实例。各组对应生产流程中的一个关键操作，并以结构、逐点数值或数据集状态表征标准化结果；完整分类矩阵见补充材料S4。</w:t>
      </w:r>
    </w:p>
    <w:p>
      <w:r>
        <w:rPr>
          <w:rFonts w:ascii="Times New Roman" w:hAnsi="Times New Roman" w:eastAsia="Songti SC"/>
        </w:rPr>
        <w:t>数据集质量控制覆盖变量、维度、形状、属性、坐标方向、数值范围和Gapfill结果。输出数组与位置编码参照逐点对应，Float32转换采用统一的绝对和相对容差；配置与数据集状态通过明确的流程信息反馈给维护者。质量报告同步保存最大绝对误差、最大相对误差、处理历史和重复生产一致性。</w:t>
      </w:r>
    </w:p>
    <w:p>
      <w:r>
        <w:rPr>
          <w:rFonts w:ascii="Times New Roman" w:hAnsi="Times New Roman" w:eastAsia="Songti SC"/>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独立参考流程直接读取未缩放的Int16存储值，根据原始</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和</w:t>
      </w:r>
      <w:r>
        <w:rPr>
          <w:rFonts w:ascii="Consolas" w:hAnsi="Consolas" w:eastAsia="Songti SC"/>
        </w:rPr>
        <w:t>_FillValue</w:t>
      </w:r>
      <w:r>
        <w:rPr>
          <w:rFonts w:ascii="Times New Roman" w:hAnsi="Times New Roman" w:eastAsia="Songti SC"/>
        </w:rPr>
        <w:t>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Gapfill、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校园网双镜像实验是另一组独立记录：4个数据集分别从FTP和Zenodo重复获取3次，两类镜像各形成12次下载，共24次结果，均达到登记字节数并通过SHA-256核验。在本组校园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校园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s首步计算。这些结果验证了本文数据组织方法与既定模式接口的衔接。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为上述更新提供了验证。OISST标准化后的有效格点与独立参考逐点一致；ELEV和LAI在两个测试环境中采用直接NetCDF分发，缩短了缓存预热后的端到端访问时间并使逻辑临时占用约减半；校园网FTP与Zenodo的24次获取均通过文件大小和SHA-256核验。US-NR1案例中，14类陆面数据和8类ERA5逐时数据形成模式输入，各气象字段的8784个时间步与底层读取一致，并完成Emerald初始化和60 s首步计算。</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