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结果表明，标准化数据与独立参考保持一致，直接NetCDF分发降低了访问开销，多源网格数据能够统一组织为模式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The results show that standardized data agree with independent references, direct NetCDF distribution reduces access overhead, and gridded data from multiple sources can be organized into model inputs through a unified workflow.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eusable）的 FAIR 原则[1]。NetCDF适合组织多维科学数据及其坐标信息[2]，CF元数据约定进一步规范变量、坐标和时空属性[3]。Google Earth Engine等云平台通过改善数据表达、发现、访问及计算，提升了大尺度地学数据的访问和分析能力[4]。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b w:val="0"/>
        </w:rPr>
        <w:t>Wang等[5]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b w:val="0"/>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b w:val="0"/>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b w:val="0"/>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b w:val="0"/>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b w:val="0"/>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b w:val="0"/>
        </w:rPr>
        <w:t>承担，数据目录与可信分发层及模式输入组织层主要由</w:t>
      </w:r>
      <w:r>
        <w:rPr>
          <w:rFonts w:ascii="Consolas" w:hAnsi="Consolas" w:eastAsia="Songti SC"/>
        </w:rPr>
        <w:t>GriddingMachine.jl</w:t>
      </w:r>
      <w:r>
        <w:rPr>
          <w:rFonts w:ascii="Times New Roman" w:hAnsi="Times New Roman" w:eastAsia="Songti SC"/>
          <w:b w:val="0"/>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b w:val="0"/>
        </w:rPr>
        <w:t xml:space="preserve"> （a）2022版以数据集专用脚本、</w:t>
      </w:r>
      <w:r>
        <w:rPr>
          <w:rFonts w:ascii="Consolas" w:hAnsi="Consolas" w:eastAsia="Songti SC"/>
        </w:rPr>
        <w:t>tar.gz</w:t>
      </w:r>
      <w:r>
        <w:rPr>
          <w:rFonts w:ascii="Times New Roman" w:hAnsi="Times New Roman" w:eastAsia="Songti SC"/>
          <w:b w:val="0"/>
        </w:rPr>
        <w:t>文件、包内数据目录和读取函数</w:t>
      </w:r>
      <w:r>
        <w:rPr>
          <w:rFonts w:ascii="Consolas" w:hAnsi="Consolas" w:eastAsia="Songti SC"/>
        </w:rPr>
        <w:t>read_LUT</w:t>
      </w:r>
      <w:r>
        <w:rPr>
          <w:rFonts w:ascii="Times New Roman" w:hAnsi="Times New Roman" w:eastAsia="Songti SC"/>
          <w:b w:val="0"/>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b w:val="0"/>
        </w:rPr>
        <w:t xml:space="preserve"> (a) The 2022 release connected dataset-specific scripts, </w:t>
      </w:r>
      <w:r>
        <w:rPr>
          <w:rFonts w:ascii="Consolas" w:hAnsi="Consolas" w:eastAsia="Songti SC"/>
        </w:rPr>
        <w:t>tar.gz</w:t>
      </w:r>
      <w:r>
        <w:rPr>
          <w:rFonts w:ascii="Times New Roman" w:hAnsi="Times New Roman" w:eastAsia="Songti SC"/>
          <w:b w:val="0"/>
        </w:rPr>
        <w:t xml:space="preserve"> archive files, an in-package catalog, and </w:t>
      </w:r>
      <w:r>
        <w:rPr>
          <w:rFonts w:ascii="Consolas" w:hAnsi="Consolas" w:eastAsia="Songti SC"/>
        </w:rPr>
        <w:t>read_LUT</w:t>
      </w:r>
      <w:r>
        <w:rPr>
          <w:rFonts w:ascii="Times New Roman" w:hAnsi="Times New Roman" w:eastAsia="Songti SC"/>
          <w:b w:val="0"/>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b w:val="0"/>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b w:val="0"/>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b w:val="0"/>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b w:val="0"/>
                <w:sz w:val="18"/>
              </w:rPr>
              <w:t>分发单元</w:t>
            </w:r>
          </w:p>
        </w:tc>
        <w:tc>
          <w:tcPr>
            <w:tcW w:type="dxa" w:w="2211"/>
          </w:tcPr>
          <w:p>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211"/>
          </w:tcPr>
          <w:p>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b w:val="0"/>
                <w:sz w:val="18"/>
              </w:rPr>
              <w:t>简化数据获取并降低端到端读取时间</w:t>
            </w:r>
          </w:p>
        </w:tc>
      </w:tr>
      <w:tr>
        <w:tc>
          <w:tcPr>
            <w:tcW w:type="dxa" w:w="2211"/>
          </w:tcPr>
          <w:p>
            <w:r>
              <w:rPr>
                <w:sz w:val="18"/>
              </w:rPr>
            </w:r>
            <w:r>
              <w:rPr>
                <w:rFonts w:ascii="Times New Roman" w:hAnsi="Times New Roman" w:eastAsia="Songti SC"/>
                <w:b w:val="0"/>
                <w:sz w:val="18"/>
              </w:rPr>
              <w:t>数据目录</w:t>
            </w:r>
          </w:p>
        </w:tc>
        <w:tc>
          <w:tcPr>
            <w:tcW w:type="dxa" w:w="2211"/>
          </w:tcPr>
          <w:p>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211"/>
          </w:tcPr>
          <w:p>
            <w:r>
              <w:rPr>
                <w:sz w:val="18"/>
              </w:rPr>
            </w:r>
            <w:r>
              <w:rPr>
                <w:rFonts w:ascii="Times New Roman" w:hAnsi="Times New Roman" w:eastAsia="Songti SC"/>
                <w:b w:val="0"/>
                <w:sz w:val="18"/>
              </w:rPr>
              <w:t>数据目录可独立于软件版本维护</w:t>
            </w:r>
          </w:p>
        </w:tc>
      </w:tr>
      <w:tr>
        <w:tc>
          <w:tcPr>
            <w:tcW w:type="dxa" w:w="2211"/>
          </w:tcPr>
          <w:p>
            <w:r>
              <w:rPr>
                <w:sz w:val="18"/>
              </w:rPr>
            </w:r>
            <w:r>
              <w:rPr>
                <w:rFonts w:ascii="Times New Roman" w:hAnsi="Times New Roman" w:eastAsia="Songti SC"/>
                <w:b w:val="0"/>
                <w:sz w:val="18"/>
              </w:rPr>
              <w:t>数据获取</w:t>
            </w:r>
          </w:p>
        </w:tc>
        <w:tc>
          <w:tcPr>
            <w:tcW w:type="dxa" w:w="2211"/>
          </w:tcPr>
          <w:p>
            <w:r>
              <w:rPr>
                <w:sz w:val="18"/>
              </w:rPr>
            </w:r>
            <w:r>
              <w:rPr>
                <w:rFonts w:ascii="Times New Roman" w:hAnsi="Times New Roman" w:eastAsia="Songti SC"/>
                <w:b w:val="0"/>
                <w:sz w:val="18"/>
              </w:rPr>
              <w:t>构建产物哈希寻址、多个 URL 和解包</w:t>
            </w:r>
          </w:p>
        </w:tc>
        <w:tc>
          <w:tcPr>
            <w:tcW w:type="dxa" w:w="2211"/>
          </w:tcPr>
          <w:p>
            <w:r>
              <w:rPr>
                <w:sz w:val="18"/>
              </w:rPr>
            </w:r>
            <w:r>
              <w:rPr>
                <w:rFonts w:ascii="Times New Roman" w:hAnsi="Times New Roman" w:eastAsia="Songti SC"/>
                <w:b w:val="0"/>
                <w:sz w:val="18"/>
              </w:rPr>
              <w:t>多镜像回退、临时文件下载和完整性校验</w:t>
            </w:r>
          </w:p>
        </w:tc>
        <w:tc>
          <w:tcPr>
            <w:tcW w:type="dxa" w:w="2211"/>
          </w:tcPr>
          <w:p>
            <w:r>
              <w:rPr>
                <w:sz w:val="18"/>
              </w:rPr>
            </w:r>
            <w:r>
              <w:rPr>
                <w:rFonts w:ascii="Times New Roman" w:hAnsi="Times New Roman" w:eastAsia="Songti SC"/>
                <w:b w:val="0"/>
                <w:sz w:val="18"/>
              </w:rPr>
              <w:t>提高数据获取的可靠性和可追溯性</w:t>
            </w:r>
          </w:p>
        </w:tc>
      </w:tr>
      <w:tr>
        <w:tc>
          <w:tcPr>
            <w:tcW w:type="dxa" w:w="2211"/>
          </w:tcPr>
          <w:p>
            <w:r>
              <w:rPr>
                <w:sz w:val="18"/>
              </w:rPr>
            </w:r>
            <w:r>
              <w:rPr>
                <w:rFonts w:ascii="Times New Roman" w:hAnsi="Times New Roman" w:eastAsia="Songti SC"/>
                <w:b w:val="0"/>
                <w:sz w:val="18"/>
              </w:rPr>
              <w:t>数据读取接口</w:t>
            </w:r>
          </w:p>
        </w:tc>
        <w:tc>
          <w:tcPr>
            <w:tcW w:type="dxa" w:w="2211"/>
          </w:tcPr>
          <w:p>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读取已登记数据</w:t>
            </w:r>
          </w:p>
        </w:tc>
        <w:tc>
          <w:tcPr>
            <w:tcW w:type="dxa" w:w="2211"/>
          </w:tcPr>
          <w:p>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统一提供全域网格、周期切片和指定格点读取，并保留</w:t>
            </w:r>
            <w:r>
              <w:rPr>
                <w:rFonts w:ascii="Consolas" w:hAnsi="Consolas" w:eastAsia="Songti SC"/>
                <w:sz w:val="18"/>
              </w:rPr>
              <w:t>read_LUT</w:t>
            </w:r>
            <w:r>
              <w:rPr>
                <w:rFonts w:ascii="Times New Roman" w:hAnsi="Times New Roman" w:eastAsia="Songti SC"/>
                <w:b w:val="0"/>
                <w:sz w:val="18"/>
              </w:rPr>
              <w:t>作为兼容调用名称</w:t>
            </w:r>
          </w:p>
        </w:tc>
        <w:tc>
          <w:tcPr>
            <w:tcW w:type="dxa" w:w="2211"/>
          </w:tcPr>
          <w:p>
            <w:r>
              <w:rPr>
                <w:sz w:val="18"/>
              </w:rPr>
            </w:r>
            <w:r>
              <w:rPr>
                <w:rFonts w:ascii="Times New Roman" w:hAnsi="Times New Roman" w:eastAsia="Songti SC"/>
                <w:b w:val="0"/>
                <w:sz w:val="18"/>
              </w:rPr>
              <w:t>统一数据发现、读取和模式输入组织，降低旧接口迁移成本</w:t>
            </w:r>
          </w:p>
        </w:tc>
      </w:tr>
      <w:tr>
        <w:tc>
          <w:tcPr>
            <w:tcW w:type="dxa" w:w="2211"/>
          </w:tcPr>
          <w:p>
            <w:r>
              <w:rPr>
                <w:sz w:val="18"/>
              </w:rPr>
            </w:r>
            <w:r>
              <w:rPr>
                <w:rFonts w:ascii="Times New Roman" w:hAnsi="Times New Roman" w:eastAsia="Songti SC"/>
                <w:b w:val="0"/>
                <w:sz w:val="18"/>
              </w:rPr>
              <w:t>多语言访问</w:t>
            </w:r>
          </w:p>
        </w:tc>
        <w:tc>
          <w:tcPr>
            <w:tcW w:type="dxa" w:w="2211"/>
          </w:tcPr>
          <w:p>
            <w:r>
              <w:rPr>
                <w:sz w:val="18"/>
              </w:rPr>
            </w:r>
            <w:r>
              <w:rPr>
                <w:rFonts w:ascii="Times New Roman" w:hAnsi="Times New Roman" w:eastAsia="Songti SC"/>
                <w:b w:val="0"/>
                <w:sz w:val="18"/>
              </w:rPr>
              <w:t>提供Julia、Matlab、Octave、Python和R接口</w:t>
            </w:r>
          </w:p>
        </w:tc>
        <w:tc>
          <w:tcPr>
            <w:tcW w:type="dxa" w:w="2211"/>
          </w:tcPr>
          <w:p>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b w:val="0"/>
                <w:sz w:val="18"/>
              </w:rPr>
              <w:t>扩展科研人员获取新版网格数据的编程环境</w:t>
            </w:r>
          </w:p>
        </w:tc>
      </w:tr>
      <w:tr>
        <w:tc>
          <w:tcPr>
            <w:tcW w:type="dxa" w:w="2211"/>
          </w:tcPr>
          <w:p>
            <w:r>
              <w:rPr>
                <w:sz w:val="18"/>
              </w:rPr>
            </w:r>
            <w:r>
              <w:rPr>
                <w:rFonts w:ascii="Times New Roman" w:hAnsi="Times New Roman" w:eastAsia="Songti SC"/>
                <w:b w:val="0"/>
                <w:sz w:val="18"/>
              </w:rPr>
              <w:t>模式组织</w:t>
            </w:r>
          </w:p>
        </w:tc>
        <w:tc>
          <w:tcPr>
            <w:tcW w:type="dxa" w:w="2211"/>
          </w:tcPr>
          <w:p>
            <w:r>
              <w:rPr>
                <w:sz w:val="18"/>
              </w:rPr>
            </w:r>
            <w:r>
              <w:rPr>
                <w:rFonts w:ascii="Times New Roman" w:hAnsi="Times New Roman" w:eastAsia="Songti SC"/>
                <w:b w:val="0"/>
                <w:sz w:val="18"/>
              </w:rPr>
              <w:t>标准化数据和通用读取</w:t>
            </w:r>
          </w:p>
        </w:tc>
        <w:tc>
          <w:tcPr>
            <w:tcW w:type="dxa" w:w="2211"/>
          </w:tcPr>
          <w:p>
            <w:r>
              <w:rPr>
                <w:sz w:val="18"/>
              </w:rPr>
            </w:r>
            <w:r>
              <w:rPr>
                <w:rFonts w:ascii="Times New Roman" w:hAnsi="Times New Roman" w:eastAsia="Songti SC"/>
                <w:b w:val="0"/>
                <w:sz w:val="18"/>
              </w:rPr>
              <w:t>陆面参数融合与气象驱动组织</w:t>
            </w:r>
          </w:p>
        </w:tc>
        <w:tc>
          <w:tcPr>
            <w:tcW w:type="dxa" w:w="2211"/>
          </w:tcPr>
          <w:p>
            <w:r>
              <w:rPr>
                <w:sz w:val="18"/>
              </w:rPr>
            </w:r>
            <w:r>
              <w:rPr>
                <w:rFonts w:ascii="Times New Roman" w:hAnsi="Times New Roman" w:eastAsia="Songti SC"/>
                <w:b w:val="0"/>
                <w:sz w:val="18"/>
              </w:rPr>
              <w:t>标准化数据进入Emerald参数组织与模式初始化</w:t>
            </w:r>
          </w:p>
        </w:tc>
      </w:tr>
      <w:tr>
        <w:tc>
          <w:tcPr>
            <w:tcW w:type="dxa" w:w="2211"/>
          </w:tcPr>
          <w:p>
            <w:r>
              <w:rPr>
                <w:sz w:val="18"/>
              </w:rPr>
            </w:r>
            <w:r>
              <w:rPr>
                <w:rFonts w:ascii="Times New Roman" w:hAnsi="Times New Roman" w:eastAsia="Songti SC"/>
                <w:b w:val="0"/>
                <w:sz w:val="18"/>
              </w:rPr>
              <w:t>数据生产</w:t>
            </w:r>
          </w:p>
        </w:tc>
        <w:tc>
          <w:tcPr>
            <w:tcW w:type="dxa" w:w="2211"/>
          </w:tcPr>
          <w:p>
            <w:r>
              <w:rPr>
                <w:sz w:val="18"/>
              </w:rPr>
            </w:r>
            <w:r>
              <w:rPr>
                <w:rFonts w:ascii="Times New Roman" w:hAnsi="Times New Roman" w:eastAsia="Songti SC"/>
                <w:b w:val="0"/>
                <w:sz w:val="18"/>
              </w:rPr>
              <w:t>数据源专用处理及贡献流程</w:t>
            </w:r>
          </w:p>
        </w:tc>
        <w:tc>
          <w:tcPr>
            <w:tcW w:type="dxa" w:w="2211"/>
          </w:tcPr>
          <w:p>
            <w:r>
              <w:rPr>
                <w:sz w:val="18"/>
              </w:rPr>
            </w:r>
            <w:r>
              <w:rPr>
                <w:rFonts w:ascii="Times New Roman" w:hAnsi="Times New Roman" w:eastAsia="Songti SC"/>
                <w:b w:val="0"/>
                <w:sz w:val="18"/>
              </w:rPr>
              <w:t>共享YAML配置规范、程序化与交互式配置生成及显式源维度映射</w:t>
            </w:r>
          </w:p>
        </w:tc>
        <w:tc>
          <w:tcPr>
            <w:tcW w:type="dxa" w:w="2211"/>
          </w:tcPr>
          <w:p>
            <w:r>
              <w:rPr>
                <w:sz w:val="18"/>
              </w:rPr>
            </w:r>
            <w:r>
              <w:rPr>
                <w:rFonts w:ascii="Times New Roman" w:hAnsi="Times New Roman" w:eastAsia="Songti SC"/>
                <w:b w:val="0"/>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数据契约与维度映射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b w:val="0"/>
                <w:sz w:val="18"/>
              </w:rPr>
              <w:t>文件与网格</w:t>
            </w:r>
          </w:p>
        </w:tc>
        <w:tc>
          <w:tcPr>
            <w:tcW w:type="dxa" w:w="2948"/>
          </w:tcPr>
          <w:p>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tcPr>
          <w:p>
            <w:r>
              <w:rPr>
                <w:sz w:val="18"/>
              </w:rPr>
            </w:r>
            <w:r>
              <w:rPr>
                <w:rFonts w:ascii="Times New Roman" w:hAnsi="Times New Roman" w:eastAsia="Songti SC"/>
                <w:b w:val="0"/>
                <w:sz w:val="18"/>
              </w:rPr>
              <w:t>NetCDF统一保存数据、坐标与自描述元数据</w:t>
            </w:r>
          </w:p>
        </w:tc>
      </w:tr>
      <w:tr>
        <w:tc>
          <w:tcPr>
            <w:tcW w:type="dxa" w:w="2948"/>
          </w:tcPr>
          <w:p>
            <w:r>
              <w:rPr>
                <w:sz w:val="18"/>
              </w:rPr>
            </w:r>
            <w:r>
              <w:rPr>
                <w:rFonts w:ascii="Times New Roman" w:hAnsi="Times New Roman" w:eastAsia="Songti SC"/>
                <w:b w:val="0"/>
                <w:sz w:val="18"/>
              </w:rPr>
              <w:t>维度</w:t>
            </w:r>
          </w:p>
        </w:tc>
        <w:tc>
          <w:tcPr>
            <w:tcW w:type="dxa" w:w="2948"/>
          </w:tcPr>
          <w:p>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tcPr>
          <w:p>
            <w:r>
              <w:rPr>
                <w:sz w:val="18"/>
              </w:rPr>
            </w:r>
            <w:r>
              <w:rPr>
                <w:rFonts w:ascii="Times New Roman" w:hAnsi="Times New Roman" w:eastAsia="Songti SC"/>
                <w:b w:val="0"/>
                <w:sz w:val="18"/>
              </w:rPr>
              <w:t>通用维度映射将多种源排列转换为统一结构</w:t>
            </w:r>
          </w:p>
        </w:tc>
      </w:tr>
      <w:tr>
        <w:tc>
          <w:tcPr>
            <w:tcW w:type="dxa" w:w="2948"/>
          </w:tcPr>
          <w:p>
            <w:r>
              <w:rPr>
                <w:sz w:val="18"/>
              </w:rPr>
            </w:r>
            <w:r>
              <w:rPr>
                <w:rFonts w:ascii="Times New Roman" w:hAnsi="Times New Roman" w:eastAsia="Songti SC"/>
                <w:b w:val="0"/>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tcPr>
          <w:p>
            <w:r>
              <w:rPr>
                <w:sz w:val="18"/>
              </w:rPr>
            </w:r>
            <w:r>
              <w:rPr>
                <w:rFonts w:ascii="Times New Roman" w:hAnsi="Times New Roman" w:eastAsia="Songti SC"/>
                <w:b w:val="0"/>
                <w:sz w:val="18"/>
              </w:rPr>
              <w:t>翻转和循环平移保持数据与坐标同步</w:t>
            </w:r>
          </w:p>
        </w:tc>
      </w:tr>
      <w:tr>
        <w:tc>
          <w:tcPr>
            <w:tcW w:type="dxa" w:w="2948"/>
          </w:tcPr>
          <w:p>
            <w:r>
              <w:rPr>
                <w:sz w:val="18"/>
              </w:rPr>
            </w:r>
            <w:r>
              <w:rPr>
                <w:rFonts w:ascii="Times New Roman" w:hAnsi="Times New Roman" w:eastAsia="Songti SC"/>
                <w:b w:val="0"/>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tcPr>
          <w:p>
            <w:r>
              <w:rPr>
                <w:sz w:val="18"/>
              </w:rPr>
            </w:r>
            <w:r>
              <w:rPr>
                <w:rFonts w:ascii="Times New Roman" w:hAnsi="Times New Roman" w:eastAsia="Songti SC"/>
                <w:b w:val="0"/>
                <w:sz w:val="18"/>
              </w:rPr>
              <w:t>统一变量命名、类型、单位和数值表达</w:t>
            </w:r>
          </w:p>
        </w:tc>
      </w:tr>
      <w:tr>
        <w:tc>
          <w:tcPr>
            <w:tcW w:type="dxa" w:w="2948"/>
          </w:tcPr>
          <w:p>
            <w:r>
              <w:rPr>
                <w:sz w:val="18"/>
              </w:rPr>
            </w:r>
            <w:r>
              <w:rPr>
                <w:rFonts w:ascii="Times New Roman" w:hAnsi="Times New Roman" w:eastAsia="Songti SC"/>
                <w:b w:val="0"/>
                <w:sz w:val="18"/>
              </w:rPr>
              <w:t>缺失值填补与范围</w:t>
            </w:r>
          </w:p>
        </w:tc>
        <w:tc>
          <w:tcPr>
            <w:tcW w:type="dxa" w:w="2948"/>
          </w:tcPr>
          <w:p>
            <w:r>
              <w:rPr>
                <w:sz w:val="18"/>
              </w:rPr>
            </w:r>
            <w:r>
              <w:rPr>
                <w:rFonts w:ascii="Times New Roman" w:hAnsi="Times New Roman" w:eastAsia="Songti SC"/>
                <w:b w:val="0"/>
                <w:sz w:val="18"/>
              </w:rPr>
              <w:t>有效范围、填充值和缺失值填补策略由YAML显式声明</w:t>
            </w:r>
          </w:p>
        </w:tc>
        <w:tc>
          <w:tcPr>
            <w:tcW w:type="dxa" w:w="2948"/>
          </w:tcPr>
          <w:p>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b w:val="0"/>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tcPr>
          <w:p>
            <w:r>
              <w:rPr>
                <w:sz w:val="18"/>
              </w:rPr>
            </w:r>
            <w:r>
              <w:rPr>
                <w:rFonts w:ascii="Times New Roman" w:hAnsi="Times New Roman" w:eastAsia="Songti SC"/>
                <w:b w:val="0"/>
                <w:sz w:val="18"/>
              </w:rPr>
              <w:t>输出文件保留变量语义与主要转换过程</w:t>
            </w:r>
          </w:p>
        </w:tc>
      </w:tr>
      <w:tr>
        <w:tc>
          <w:tcPr>
            <w:tcW w:type="dxa" w:w="2948"/>
          </w:tcPr>
          <w:p>
            <w:r>
              <w:rPr>
                <w:sz w:val="18"/>
              </w:rPr>
            </w:r>
            <w:r>
              <w:rPr>
                <w:rFonts w:ascii="Times New Roman" w:hAnsi="Times New Roman" w:eastAsia="Songti SC"/>
                <w:b w:val="0"/>
                <w:sz w:val="18"/>
              </w:rPr>
              <w:t>处理记录</w:t>
            </w:r>
          </w:p>
        </w:tc>
        <w:tc>
          <w:tcPr>
            <w:tcW w:type="dxa" w:w="2948"/>
          </w:tcPr>
          <w:p>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b w:val="0"/>
                <w:sz w:val="18"/>
              </w:rPr>
              <w:t>配置意图与数据集处理历史相互对应</w:t>
            </w:r>
          </w:p>
        </w:tc>
      </w:tr>
      <w:tr>
        <w:tc>
          <w:tcPr>
            <w:tcW w:type="dxa" w:w="2948"/>
          </w:tcPr>
          <w:p>
            <w:r>
              <w:rPr>
                <w:sz w:val="18"/>
              </w:rPr>
            </w:r>
            <w:r>
              <w:rPr>
                <w:rFonts w:ascii="Times New Roman" w:hAnsi="Times New Roman" w:eastAsia="Songti SC"/>
                <w:b w:val="0"/>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tcPr>
          <w:p>
            <w:r>
              <w:rPr>
                <w:sz w:val="18"/>
              </w:rPr>
            </w:r>
            <w:r>
              <w:rPr>
                <w:rFonts w:ascii="Times New Roman" w:hAnsi="Times New Roman" w:eastAsia="Songti SC"/>
                <w:b w:val="0"/>
                <w:sz w:val="18"/>
              </w:rPr>
              <w:t>配置、输入与代码版本共同重建标准化数据</w:t>
            </w:r>
          </w:p>
        </w:tc>
      </w:tr>
      <w:tr>
        <w:tc>
          <w:tcPr>
            <w:tcW w:type="dxa" w:w="2948"/>
          </w:tcPr>
          <w:p>
            <w:r>
              <w:rPr>
                <w:sz w:val="18"/>
              </w:rPr>
            </w:r>
            <w:r>
              <w:rPr>
                <w:rFonts w:ascii="Times New Roman" w:hAnsi="Times New Roman" w:eastAsia="Songti SC"/>
                <w:b w:val="0"/>
                <w:sz w:val="18"/>
              </w:rPr>
              <w:t>标签与版本</w:t>
            </w:r>
          </w:p>
        </w:tc>
        <w:tc>
          <w:tcPr>
            <w:tcW w:type="dxa" w:w="2948"/>
          </w:tcPr>
          <w:p>
            <w:r>
              <w:rPr>
                <w:sz w:val="18"/>
              </w:rPr>
            </w:r>
            <w:r>
              <w:rPr>
                <w:rFonts w:ascii="Times New Roman" w:hAnsi="Times New Roman" w:eastAsia="Songti SC"/>
                <w:b w:val="0"/>
                <w:sz w:val="18"/>
              </w:rPr>
              <w:t>标签表达类别、空间/时间分辨率、年份、版本和可选修订号</w:t>
            </w:r>
          </w:p>
        </w:tc>
        <w:tc>
          <w:tcPr>
            <w:tcW w:type="dxa" w:w="2948"/>
          </w:tcPr>
          <w:p>
            <w:r>
              <w:rPr>
                <w:sz w:val="18"/>
              </w:rPr>
            </w:r>
            <w:r>
              <w:rPr>
                <w:rFonts w:ascii="Times New Roman" w:hAnsi="Times New Roman" w:eastAsia="Songti SC"/>
                <w:b w:val="0"/>
                <w:sz w:val="18"/>
              </w:rPr>
              <w:t>标签与文件名共同形成稳定数据集标识</w:t>
            </w:r>
          </w:p>
        </w:tc>
      </w:tr>
      <w:tr>
        <w:tc>
          <w:tcPr>
            <w:tcW w:type="dxa" w:w="2948"/>
          </w:tcPr>
          <w:p>
            <w:r>
              <w:rPr>
                <w:sz w:val="18"/>
              </w:rPr>
            </w:r>
            <w:r>
              <w:rPr>
                <w:rFonts w:ascii="Times New Roman" w:hAnsi="Times New Roman" w:eastAsia="Songti SC"/>
                <w:b w:val="0"/>
                <w:sz w:val="18"/>
              </w:rPr>
              <w:t>分发完整性</w:t>
            </w:r>
          </w:p>
        </w:tc>
        <w:tc>
          <w:tcPr>
            <w:tcW w:type="dxa" w:w="2948"/>
          </w:tcPr>
          <w:p>
            <w:r>
              <w:rPr>
                <w:sz w:val="18"/>
              </w:rPr>
            </w:r>
            <w:r>
              <w:rPr>
                <w:rFonts w:ascii="Times New Roman" w:hAnsi="Times New Roman" w:eastAsia="Songti SC"/>
                <w:b w:val="0"/>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b w:val="0"/>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production contract.</w:t>
      </w:r>
    </w:p>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b w:val="0"/>
        </w:rPr>
        <w:t>、</w:t>
      </w:r>
      <w:r>
        <w:rPr>
          <w:rFonts w:ascii="Consolas" w:hAnsi="Consolas" w:eastAsia="Songti SC"/>
        </w:rPr>
        <w:t>FOLDER</w:t>
      </w:r>
      <w:r>
        <w:rPr>
          <w:rFonts w:ascii="Times New Roman" w:hAnsi="Times New Roman" w:eastAsia="Songti SC"/>
          <w:b w:val="0"/>
        </w:rPr>
        <w:t>、</w:t>
      </w:r>
      <w:r>
        <w:rPr>
          <w:rFonts w:ascii="Consolas" w:hAnsi="Consolas" w:eastAsia="Songti SC"/>
        </w:rPr>
        <w:t>DATA</w:t>
      </w:r>
      <w:r>
        <w:rPr>
          <w:rFonts w:ascii="Times New Roman" w:hAnsi="Times New Roman" w:eastAsia="Songti SC"/>
          <w:b w:val="0"/>
        </w:rPr>
        <w:t>（及可选</w:t>
      </w:r>
      <w:r>
        <w:rPr>
          <w:rFonts w:ascii="Consolas" w:hAnsi="Consolas" w:eastAsia="Songti SC"/>
        </w:rPr>
        <w:t>STD</w:t>
      </w:r>
      <w:r>
        <w:rPr>
          <w:rFonts w:ascii="Times New Roman" w:hAnsi="Times New Roman" w:eastAsia="Songti SC"/>
          <w:b w:val="0"/>
        </w:rPr>
        <w:t>）和</w:t>
      </w:r>
      <w:r>
        <w:rPr>
          <w:rFonts w:ascii="Consolas" w:hAnsi="Consolas" w:eastAsia="Songti SC"/>
        </w:rPr>
        <w:t>GRIDDINGMACHINE</w:t>
      </w:r>
      <w:r>
        <w:rPr>
          <w:rFonts w:ascii="Times New Roman" w:hAnsi="Times New Roman" w:eastAsia="Songti SC"/>
          <w:b w:val="0"/>
        </w:rPr>
        <w:t>组织文件组合、输入输出位置、变量语义与转换规则以及稳定标签，并通过</w:t>
      </w:r>
      <w:r>
        <w:rPr>
          <w:rFonts w:ascii="Consolas" w:hAnsi="Consolas" w:eastAsia="Songti SC"/>
        </w:rPr>
        <w:t>SCHEMA_VERSION</w:t>
      </w:r>
      <w:r>
        <w:rPr>
          <w:rFonts w:ascii="Times New Roman" w:hAnsi="Times New Roman" w:eastAsia="Songti SC"/>
          <w:b w:val="0"/>
        </w:rPr>
        <w:t>约束字段类型、必需项、默认值、互斥关系和数组长度一致性。</w:t>
      </w:r>
      <w:r>
        <w:rPr>
          <w:rFonts w:ascii="Consolas" w:hAnsi="Consolas" w:eastAsia="Songti SC"/>
        </w:rPr>
        <w:t>DIMENSIONS</w:t>
      </w:r>
      <w:r>
        <w:rPr>
          <w:rFonts w:ascii="Times New Roman" w:hAnsi="Times New Roman" w:eastAsia="Songti SC"/>
          <w:b w:val="0"/>
        </w:rPr>
        <w:t>显式记录源变量的维度语义，</w:t>
      </w:r>
      <w:r>
        <w:rPr>
          <w:rFonts w:ascii="Consolas" w:hAnsi="Consolas" w:eastAsia="Songti SC"/>
        </w:rPr>
        <w:t>GAPFILL</w:t>
      </w:r>
      <w:r>
        <w:rPr>
          <w:rFonts w:ascii="Times New Roman" w:hAnsi="Times New Roman" w:eastAsia="Songti SC"/>
          <w:b w:val="0"/>
        </w:rPr>
        <w:t>、坐标方向、数值范围和缩放规则在数据读取前完成解析；配置构建器与生产流水线调用同一规范。</w:t>
      </w:r>
    </w:p>
    <w:p>
      <w:r>
        <w:rPr>
          <w:rFonts w:ascii="Times New Roman" w:hAnsi="Times New Roman" w:eastAsia="Songti SC"/>
          <w:b w:val="0"/>
        </w:rPr>
        <w:t>受控二维示例采用</w:t>
      </w:r>
      <w:r>
        <w:rPr>
          <w:rFonts w:ascii="Consolas" w:hAnsi="Consolas" w:eastAsia="Songti SC"/>
        </w:rPr>
        <w:t>(lat, lon)</w:t>
      </w:r>
      <w:r>
        <w:rPr>
          <w:rFonts w:ascii="Times New Roman" w:hAnsi="Times New Roman" w:eastAsia="Songti SC"/>
          <w:b w:val="0"/>
        </w:rPr>
        <w:t>源维度排列，纬度按北向南排列，经度范围为</w:t>
      </w:r>
      <w:r>
        <w:rPr>
          <w:rFonts w:ascii="Consolas" w:hAnsi="Consolas" w:eastAsia="Songti SC"/>
        </w:rPr>
        <w:t>0°～360°</w:t>
      </w:r>
      <w:r>
        <w:rPr>
          <w:rFonts w:ascii="Times New Roman" w:hAnsi="Times New Roman" w:eastAsia="Songti SC"/>
          <w:b w:val="0"/>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b w:val="0"/>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b w:val="0"/>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b w:val="0"/>
        </w:rPr>
        <w:t>执行标准化处理，使数据贡献入口与生产流水线共享一致的字段语义。</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标准化数据生产引擎首先根据</w:t>
      </w:r>
      <w:r>
        <w:rPr>
          <w:rFonts w:ascii="Consolas" w:hAnsi="Consolas" w:eastAsia="Songti SC"/>
        </w:rPr>
        <w:t>FILE</w:t>
      </w:r>
      <w:r>
        <w:rPr>
          <w:rFonts w:ascii="Times New Roman" w:hAnsi="Times New Roman" w:eastAsia="Songti SC"/>
          <w:b w:val="0"/>
        </w:rPr>
        <w:t>和</w:t>
      </w:r>
      <w:r>
        <w:rPr>
          <w:rFonts w:ascii="Consolas" w:hAnsi="Consolas" w:eastAsia="Songti SC"/>
        </w:rPr>
        <w:t>FOLDER</w:t>
      </w:r>
      <w:r>
        <w:rPr>
          <w:rFonts w:ascii="Times New Roman" w:hAnsi="Times New Roman" w:eastAsia="Songti SC"/>
          <w:b w:val="0"/>
        </w:rPr>
        <w:t>定位输入与输出文件，再读取</w:t>
      </w:r>
      <w:r>
        <w:rPr>
          <w:rFonts w:ascii="Consolas" w:hAnsi="Consolas" w:eastAsia="Songti SC"/>
        </w:rPr>
        <w:t>DATA</w:t>
      </w:r>
      <w:r>
        <w:rPr>
          <w:rFonts w:ascii="Times New Roman" w:hAnsi="Times New Roman" w:eastAsia="Songti SC"/>
          <w:b w:val="0"/>
        </w:rPr>
        <w:t>和可选</w:t>
      </w:r>
      <w:r>
        <w:rPr>
          <w:rFonts w:ascii="Consolas" w:hAnsi="Consolas" w:eastAsia="Songti SC"/>
        </w:rPr>
        <w:t>STD</w:t>
      </w:r>
      <w:r>
        <w:rPr>
          <w:rFonts w:ascii="Times New Roman" w:hAnsi="Times New Roman" w:eastAsia="Songti SC"/>
          <w:b w:val="0"/>
        </w:rPr>
        <w:t>指定的源变量。流水线将数据转换为</w:t>
      </w:r>
      <w:r>
        <w:rPr>
          <w:rFonts w:ascii="Consolas" w:hAnsi="Consolas" w:eastAsia="Songti SC"/>
        </w:rPr>
        <w:t>Float32</w:t>
      </w:r>
      <w:r>
        <w:rPr>
          <w:rFonts w:ascii="Times New Roman" w:hAnsi="Times New Roman" w:eastAsia="Songti SC"/>
          <w:b w:val="0"/>
        </w:rPr>
        <w:t>，依次执行纬度翻转、经度翻转或从</w:t>
      </w:r>
      <w:r>
        <w:rPr>
          <w:rFonts w:ascii="Consolas" w:hAnsi="Consolas" w:eastAsia="Songti SC"/>
        </w:rPr>
        <w:t>0°～360°</w:t>
      </w:r>
      <w:r>
        <w:rPr>
          <w:rFonts w:ascii="Times New Roman" w:hAnsi="Times New Roman" w:eastAsia="Songti SC"/>
          <w:b w:val="0"/>
        </w:rPr>
        <w:t>到</w:t>
      </w:r>
      <w:r>
        <w:rPr>
          <w:rFonts w:ascii="Consolas" w:hAnsi="Consolas" w:eastAsia="Songti SC"/>
        </w:rPr>
        <w:t>−180°～180°</w:t>
      </w:r>
      <w:r>
        <w:rPr>
          <w:rFonts w:ascii="Times New Roman" w:hAnsi="Times New Roman" w:eastAsia="Songti SC"/>
          <w:b w:val="0"/>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b w:val="0"/>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，并按</w:t>
      </w:r>
      <w:r>
        <w:rPr>
          <w:rFonts w:ascii="Consolas" w:hAnsi="Consolas" w:eastAsia="Songti SC"/>
        </w:rPr>
        <w:t>TAG_(PREFIX_)NX_MT_(YYYY_)VV(_REVISION)</w:t>
      </w:r>
      <w:r>
        <w:rPr>
          <w:rFonts w:ascii="Times New Roman" w:hAnsi="Times New Roman" w:eastAsia="Songti SC"/>
          <w:b w:val="0"/>
        </w:rPr>
        <w:t>生成唯一文件名。文件级变更记录与发布级配置、输入和软件环境共同构成双层复现链，连接数据集内容与其生成上下文。</w:t>
      </w:r>
    </w:p>
    <w:p>
      <w:r>
        <w:rPr>
          <w:rFonts w:ascii="Times New Roman" w:hAnsi="Times New Roman" w:eastAsia="Songti SC"/>
          <w:b w:val="0"/>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b w:val="0"/>
        </w:rPr>
        <w:t>用于记录同一配置组合的首次方向确认。输出数据质量检查进一步核对</w:t>
      </w:r>
      <w:r>
        <w:rPr>
          <w:rFonts w:ascii="Consolas" w:hAnsi="Consolas" w:eastAsia="Songti SC"/>
        </w:rPr>
        <w:t>lon</w:t>
      </w:r>
      <w:r>
        <w:rPr>
          <w:rFonts w:ascii="Times New Roman" w:hAnsi="Times New Roman" w:eastAsia="Songti SC"/>
          <w:b w:val="0"/>
        </w:rPr>
        <w:t>、</w:t>
      </w:r>
      <w:r>
        <w:rPr>
          <w:rFonts w:ascii="Consolas" w:hAnsi="Consolas" w:eastAsia="Songti SC"/>
        </w:rPr>
        <w:t>lat</w:t>
      </w:r>
      <w:r>
        <w:rPr>
          <w:rFonts w:ascii="Times New Roman" w:hAnsi="Times New Roman" w:eastAsia="Songti SC"/>
          <w:b w:val="0"/>
        </w:rPr>
        <w:t>及可选</w:t>
      </w:r>
      <w:r>
        <w:rPr>
          <w:rFonts w:ascii="Consolas" w:hAnsi="Consolas" w:eastAsia="Songti SC"/>
        </w:rPr>
        <w:t>ind</w:t>
      </w:r>
      <w:r>
        <w:rPr>
          <w:rFonts w:ascii="Times New Roman" w:hAnsi="Times New Roman" w:eastAsia="Songti SC"/>
          <w:b w:val="0"/>
        </w:rPr>
        <w:t>维度、主变量</w:t>
      </w:r>
      <w:r>
        <w:rPr>
          <w:rFonts w:ascii="Consolas" w:hAnsi="Consolas" w:eastAsia="Songti SC"/>
        </w:rPr>
        <w:t>data</w:t>
      </w:r>
      <w:r>
        <w:rPr>
          <w:rFonts w:ascii="Times New Roman" w:hAnsi="Times New Roman" w:eastAsia="Songti SC"/>
          <w:b w:val="0"/>
        </w:rPr>
        <w:t>、数值范围和缺失值状态。对于标准支持分辨率，陆地区域完整性通过重采样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。模式输入组织层直接继承数据生产与标准化层统一的单位、缺失值和物理范围，使处理规则集中于共享生产契约，并兼容既有读取方式。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植物功能型比例用于融合 C3 和 C4 植物的叶片光学参数与 Medlyn 气孔导度模型参数[6,7]。光合参数组织参考叶片羧化能力与电子传递能力的协调关系[8]，并按当前模式参数化关系由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b w:val="0"/>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b w:val="0"/>
                <w:sz w:val="18"/>
              </w:rPr>
              <w:t>数据生产与标准化层将异构源数据转换为标准NetCDF</w:t>
            </w:r>
          </w:p>
        </w:tc>
        <w:tc>
          <w:tcPr>
            <w:tcW w:type="dxa" w:w="2211"/>
          </w:tcPr>
          <w:p>
            <w:r>
              <w:rPr>
                <w:sz w:val="18"/>
              </w:rPr>
            </w:r>
            <w:r>
              <w:rPr>
                <w:rFonts w:ascii="Times New Roman" w:hAnsi="Times New Roman" w:eastAsia="Songti SC"/>
                <w:b w:val="0"/>
                <w:sz w:val="18"/>
              </w:rPr>
              <w:t>31组受控实例、ELEV重复生产与逐点核对</w:t>
            </w:r>
          </w:p>
        </w:tc>
        <w:tc>
          <w:tcPr>
            <w:tcW w:type="dxa" w:w="2211"/>
          </w:tcPr>
          <w:p>
            <w:r>
              <w:rPr>
                <w:sz w:val="18"/>
              </w:rPr>
            </w:r>
            <w:r>
              <w:rPr>
                <w:rFonts w:ascii="Times New Roman" w:hAnsi="Times New Roman" w:eastAsia="Songti SC"/>
                <w:b w:val="0"/>
                <w:sz w:val="18"/>
              </w:rPr>
              <w:t>OISST V2.1真实异构源数据</w:t>
            </w:r>
          </w:p>
        </w:tc>
        <w:tc>
          <w:tcPr>
            <w:tcW w:type="dxa" w:w="2211"/>
          </w:tcPr>
          <w:p>
            <w:r>
              <w:rPr>
                <w:sz w:val="18"/>
              </w:rPr>
            </w:r>
            <w:r>
              <w:rPr>
                <w:rFonts w:ascii="Times New Roman" w:hAnsi="Times New Roman" w:eastAsia="Songti SC"/>
                <w:b w:val="0"/>
                <w:sz w:val="18"/>
              </w:rPr>
              <w:t>维度与坐标、有效值掩膜、逐点物理值、重复生成摘要</w:t>
            </w:r>
          </w:p>
        </w:tc>
      </w:tr>
      <w:tr>
        <w:tc>
          <w:tcPr>
            <w:tcW w:type="dxa" w:w="2211"/>
          </w:tcPr>
          <w:p>
            <w:r>
              <w:rPr>
                <w:sz w:val="18"/>
              </w:rPr>
            </w:r>
            <w:r>
              <w:rPr>
                <w:rFonts w:ascii="Times New Roman" w:hAnsi="Times New Roman" w:eastAsia="Songti SC"/>
                <w:b w:val="0"/>
                <w:sz w:val="18"/>
              </w:rPr>
              <w:t>数据目录与可信分发层组织高效且内容可核验的数据获取</w:t>
            </w:r>
          </w:p>
        </w:tc>
        <w:tc>
          <w:tcPr>
            <w:tcW w:type="dxa" w:w="2211"/>
          </w:tcPr>
          <w:p>
            <w:r>
              <w:rPr>
                <w:sz w:val="18"/>
              </w:rPr>
            </w:r>
            <w:r>
              <w:rPr>
                <w:rFonts w:ascii="Times New Roman" w:hAnsi="Times New Roman" w:eastAsia="Songti SC"/>
                <w:b w:val="0"/>
                <w:sz w:val="18"/>
              </w:rPr>
              <w:t>ELEV/LAI回环HTTP对照；13类受控状态场景</w:t>
            </w:r>
          </w:p>
        </w:tc>
        <w:tc>
          <w:tcPr>
            <w:tcW w:type="dxa" w:w="2211"/>
          </w:tcPr>
          <w:p>
            <w:r>
              <w:rPr>
                <w:sz w:val="18"/>
              </w:rPr>
            </w:r>
            <w:r>
              <w:rPr>
                <w:rFonts w:ascii="Times New Roman" w:hAnsi="Times New Roman" w:eastAsia="Songti SC"/>
                <w:b w:val="0"/>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c>
          <w:tcPr>
            <w:tcW w:type="dxa" w:w="2211"/>
          </w:tcPr>
          <w:p>
            <w:r>
              <w:rPr>
                <w:sz w:val="18"/>
              </w:rPr>
            </w:r>
            <w:r>
              <w:rPr>
                <w:rFonts w:ascii="Times New Roman" w:hAnsi="Times New Roman" w:eastAsia="Songti SC"/>
                <w:b w:val="0"/>
                <w:sz w:val="18"/>
              </w:rPr>
              <w:t>模式输入组织层将标准化数据组织为模式就绪输入</w:t>
            </w:r>
          </w:p>
        </w:tc>
        <w:tc>
          <w:tcPr>
            <w:tcW w:type="dxa" w:w="2211"/>
          </w:tcPr>
          <w:p>
            <w:r>
              <w:rPr>
                <w:sz w:val="18"/>
              </w:rPr>
            </w:r>
            <w:r>
              <w:rPr>
                <w:rFonts w:ascii="Times New Roman" w:hAnsi="Times New Roman" w:eastAsia="Songti SC"/>
                <w:b w:val="0"/>
                <w:sz w:val="18"/>
              </w:rPr>
              <w:t>确定性读取、字段、时间轴与接口核对</w:t>
            </w:r>
          </w:p>
        </w:tc>
        <w:tc>
          <w:tcPr>
            <w:tcW w:type="dxa" w:w="2211"/>
          </w:tcPr>
          <w:p>
            <w:r>
              <w:rPr>
                <w:sz w:val="18"/>
              </w:rPr>
            </w:r>
            <w:r>
              <w:rPr>
                <w:rFonts w:ascii="Times New Roman" w:hAnsi="Times New Roman" w:eastAsia="Songti SC"/>
                <w:b w:val="0"/>
                <w:sz w:val="18"/>
              </w:rPr>
              <w:t>US-NR1的14类陆面数据集、8类ERA5及Emerald初始化和60 s首步</w:t>
            </w:r>
          </w:p>
        </w:tc>
        <w:tc>
          <w:tcPr>
            <w:tcW w:type="dxa" w:w="2211"/>
          </w:tcPr>
          <w:p>
            <w:r>
              <w:rPr>
                <w:sz w:val="18"/>
              </w:rPr>
            </w:r>
            <w:r>
              <w:rPr>
                <w:rFonts w:ascii="Times New Roman" w:hAnsi="Times New Roman" w:eastAsia="Songti SC"/>
                <w:b w:val="0"/>
                <w:sz w:val="18"/>
              </w:rPr>
              <w:t>字段与形状、时间轴、量纲、逐点数值、初始化与首步状态</w:t>
            </w:r>
          </w:p>
        </w:tc>
      </w:tr>
      <w:tr>
        <w:tc>
          <w:tcPr>
            <w:tcW w:type="dxa" w:w="2211"/>
          </w:tcPr>
          <w:p>
            <w:r>
              <w:rPr>
                <w:sz w:val="18"/>
              </w:rPr>
            </w:r>
            <w:r>
              <w:rPr>
                <w:rFonts w:ascii="Times New Roman" w:hAnsi="Times New Roman" w:eastAsia="Songti SC"/>
                <w:b w:val="0"/>
                <w:sz w:val="18"/>
              </w:rPr>
              <w:t>核心实现具有跨操作系统运行一致性</w:t>
            </w:r>
          </w:p>
        </w:tc>
        <w:tc>
          <w:tcPr>
            <w:tcW w:type="dxa" w:w="2211"/>
          </w:tcPr>
          <w:p>
            <w:r>
              <w:rPr>
                <w:sz w:val="18"/>
              </w:rPr>
            </w:r>
            <w:r>
              <w:rPr>
                <w:rFonts w:ascii="Times New Roman" w:hAnsi="Times New Roman" w:eastAsia="Songti SC"/>
                <w:b w:val="0"/>
                <w:sz w:val="18"/>
              </w:rPr>
              <w:t>Windows、macOS、Linux持续集成</w:t>
            </w:r>
          </w:p>
        </w:tc>
        <w:tc>
          <w:tcPr>
            <w:tcW w:type="dxa" w:w="2211"/>
          </w:tcPr>
          <w:p>
            <w:r>
              <w:rPr>
                <w:sz w:val="18"/>
              </w:rPr>
            </w:r>
            <w:r>
              <w:rPr>
                <w:rFonts w:ascii="Times New Roman" w:hAnsi="Times New Roman" w:eastAsia="Songti SC"/>
                <w:b w:val="0"/>
                <w:sz w:val="18"/>
              </w:rPr>
              <w:t>Windows/macOS独立性能观测及按实际环境记录的真实网络案例</w:t>
            </w:r>
          </w:p>
        </w:tc>
        <w:tc>
          <w:tcPr>
            <w:tcW w:type="dxa" w:w="2211"/>
          </w:tcPr>
          <w:p>
            <w:r>
              <w:rPr>
                <w:sz w:val="18"/>
              </w:rPr>
            </w:r>
            <w:r>
              <w:rPr>
                <w:rFonts w:ascii="Times New Roman" w:hAnsi="Times New Roman" w:eastAsia="Songti SC"/>
                <w:b w:val="0"/>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b w:val="0"/>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共享生产契约与质量控制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代表性处理实例包括</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源排列、纬度和经度翻转、</w:t>
      </w:r>
      <w:r>
        <w:rPr>
          <w:rFonts w:ascii="Consolas" w:hAnsi="Consolas" w:eastAsia="Songti SC"/>
        </w:rPr>
        <w:t>0～360°</w:t>
      </w:r>
      <w:r>
        <w:rPr>
          <w:rFonts w:ascii="Times New Roman" w:hAnsi="Times New Roman" w:eastAsia="Songti SC"/>
          <w:b w:val="0"/>
        </w:rPr>
        <w:t>经度平移、线性缩放、范围过滤、缺失值填补、</w:t>
      </w:r>
      <w:r>
        <w:rPr>
          <w:rFonts w:ascii="Consolas" w:hAnsi="Consolas" w:eastAsia="Songti SC"/>
        </w:rPr>
        <w:t>data/std</w:t>
      </w:r>
      <w:r>
        <w:rPr>
          <w:rFonts w:ascii="Times New Roman" w:hAnsi="Times New Roman" w:eastAsia="Songti SC"/>
          <w:b w:val="0"/>
        </w:rPr>
        <w:t>保存和标签生成。配置字段、变量数量、已有数据集和标签状态共同覆盖标准化数据从源数据到目录登记的主要环节。</w:t>
      </w:r>
    </w:p>
    <w:p>
      <w:r>
        <w:rPr>
          <w:rFonts w:ascii="Times New Roman" w:hAnsi="Times New Roman" w:eastAsia="Songti SC"/>
          <w:b w:val="0"/>
        </w:rPr>
        <w:t>共享生产契约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版本化源适配器提取唯一的垂向层和时间层，共享YAML契约进一步完成维度声明、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b w:val="0"/>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跨操作系统运行一致性设计</w:t>
      </w:r>
    </w:p>
    <w:p>
      <w:r>
        <w:rPr>
          <w:rFonts w:ascii="Times New Roman" w:hAnsi="Times New Roman" w:eastAsia="Songti SC"/>
          <w:b w:val="0"/>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b w:val="0"/>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共享生产契约与质量控制结果</w:t>
      </w:r>
    </w:p>
    <w:p>
      <w:r>
        <w:rPr>
          <w:rFonts w:ascii="Times New Roman" w:hAnsi="Times New Roman" w:eastAsia="Songti SC"/>
          <w:b w:val="0"/>
        </w:rPr>
        <w:t>三系统持续集成中的29组非交互实例获得一致的数据集结构和逐点数值；V01和V02的空间方向结果与预设一致。配置贡献案例进一步贯通YAML配置、标准化生成、目录登记和下游读取，生成数据集与参考数组逐点一致。</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OISST案例展示了共享生产契约对异构地学源数据的组织能力。原始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b w:val="0"/>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b w:val="0"/>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b w:val="0"/>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b w:val="0"/>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b w:val="0"/>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b w:val="0"/>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b w:val="0"/>
        </w:rPr>
        <w:t>13类受控状态场景在两个独立操作系统环境中各重复5次。目录与数据获取模块按照延迟辅助排序候选，并在访问或内容核验状态变化时遍历其余地址；每次获取均以独立临时文件完成传输，内容核验通过后进入正式路径，既有正式文件摘要保持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跨操作系统运行一致性结果</w:t>
      </w:r>
    </w:p>
    <w:p>
      <w:r>
        <w:rPr>
          <w:rFonts w:ascii="Times New Roman" w:hAnsi="Times New Roman" w:eastAsia="Songti SC"/>
          <w:b w:val="0"/>
        </w:rPr>
        <w:t>跨系统测试显示，核心数据结构、逐点结果、文件摘要和接口状态在Windows、macOS和Linux的既定运行路径中保持一致；GriddingMachine、GriddingMachineDatasets及Emerald合成输入接口均通过相应测试。详细测试矩阵见补充材料S5。</w:t>
      </w:r>
    </w:p>
    <w:p>
      <w:r>
        <w:rPr>
          <w:rFonts w:ascii="Times New Roman" w:hAnsi="Times New Roman" w:eastAsia="Songti SC"/>
          <w:b w:val="0"/>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已建立统一网格、变量约定、标签访问和多语言接口[5]。本轮更新进一步把数据源专用处理规则整理为共享配置，将数据目录与软件包分开维护，并将标准网格读取延伸到陆面参数和气象驱动组织。目录审计时共登记1179个数据条目，均配置机构FTP地址，部分条目另有Zenodo镜像；统一的数据规范与目录结构支持这些条目采用相同的获取和读取流程。这样的组织方式可减少不同数据集和模式之间重复编写转换、下载与接口程序的工作，并使数据修订能够沿配置、目录和文件记录持续更新。</w:t>
      </w:r>
    </w:p>
    <w:p>
      <w:r>
        <w:rPr>
          <w:rFonts w:ascii="Times New Roman" w:hAnsi="Times New Roman" w:eastAsia="Songti SC"/>
          <w:b w:val="0"/>
        </w:rPr>
        <w:t>本文案例从数据结构与应用方式两个方面覆盖主要流程：OISST检验单例维度、存储缩放和经度范围差异的标准化处理，ELEV和LAI比较直接NetCDF与外层归档的分发效率，14类陆面数据与8类ERA5数据则贯通标准网格读取和模式输入组织。共享配置、数据标签与接口约定使这些处理方法能够用于其他符合相同规范的数据。ERA5降水修订进一步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NetCDF/CF提供多维数据表达与元数据约定[2,3]，地球系统数据立方体强调多变量时空数据的联合组织与分析[12]。GriddingMachine在这些基础上固定规则网格、变量命名和数据标签，使不同来源的数据能够进入一致的本地读取流程；其核心实现使用Julia[13]，通过可组合的数据处理与读取接口连接标准化过程和模式程序。Google Earth Engine侧重云端遥感数据访问与计算[4]，ESGF侧重分布式气候模式数据发现和访问[14]，Pangeo及Pangeo Forge支持云端数据组织与可复用的处理配方[15,16]。GriddingMachine面向固定版本、离线缓存和本地模式调用，以共享配置、独立目录和模式输入接口把标准化数据接入本地科研程序。</w:t>
      </w:r>
    </w:p>
    <w:p>
      <w:r>
        <w:rPr>
          <w:rFonts w:ascii="Times New Roman" w:hAnsi="Times New Roman" w:eastAsia="Songti SC"/>
          <w:b w:val="0"/>
        </w:rPr>
        <w:t>国内地球系统科学数据共享研究强调规范分类和目录建设[17]。Pooch和STAC分别提供科研文件获取及地理空间数据目录描述工具[18,19]，可为GriddingMachine的标签目录和标准网格组织提供补充。持续维护围绕数据目录、镜像登记、归档和模式接口展开，软件引用、科研软件 FAIR 原则（FAIR4RS）和数字资源库 TRUST 原则为软件复用、资源维护和长期科研协作提供参考[20-22]；在此基础上还可扩展更多数据源和模式。</w:t>
      </w:r>
    </w:p>
    <w:p>
      <w:pPr>
        <w:pStyle w:val="Heading1"/>
      </w:pPr>
      <w:r>
        <w:rPr>
          <w:rFonts w:ascii="Times New Roman" w:hAnsi="Times New Roman" w:eastAsia="Songti SC"/>
          <w:b w:val="0"/>
        </w:rPr>
        <w:t>6 结论</w:t>
      </w:r>
    </w:p>
    <w:p>
      <w:r>
        <w:rPr>
          <w:rFonts w:ascii="Times New Roman" w:hAnsi="Times New Roman" w:eastAsia="Songti SC"/>
          <w:b w:val="0"/>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b w:val="0"/>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