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构建贯通数据生产、质量控制、多镜像分发、统一读取和模型调用的数据生命周期框架。新版以共享配置规范（schema）和YAML驱动源维度映射、坐标转换、数值变换与缺失值填补（Gapfill），采用独立目录管理逻辑路径、镜像地址及完整性元数据，通过直接NetCDF和事务式缓存实现可信获取。应用端进一步提供标签驱动的标准网格数据访问、格点尺度陆面参数融合与气象驱动组织，实现标准产品向模型就绪输入的转换。NOAA最优插值海表温度（OISST）V2.1产品由四维源结构转换为1440×720标准网格，691 150个有效格点与独立参考逐点一致；两个内部压缩产品采用直接NetCDF后，缓存预热的端到端中位时间在两个独立运行环境中分别降低48.3%～82.9%和53.6%～69.2%；校园网内4个代表性产品经FTP和Zenodo完成24次下载，文件大小与SHA-256均与目录登记值一致；14类陆面产品与8类ERA5逐时产品在US-NR1形成参数和气象驱动，8784个时间步与底层NetCDF读取逐点一致，并完成Emerald初始化和60 s首步计算。新版GriddingMachine由此形成面向全球规则网格数据的可配置生产、可信分发和模型就绪应用框架，为地球系统数据产品的持续维护与复用提供轻量化基础设施。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Production and Trustworthy Distribution of Global Gridded Data for Earth System Models: Framework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develops GriddingMachine as an integrated lifecycle framework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and direct NetCDF with transactional caching supports verified acquisition. The application layer further provides tag-based access to standardized gridded data, grid-scale synthesis of land parameters, and assembly of meteorological forcing, converting standardized products into model-ready inputs. A NOAA Optimum Interpolation Sea Surface Temperature (OISST) V2.1 product was transformed from a four-dimensional source structure to a standardized 1440 × 720 grid, with 691,150 finite cells matching an independently decoded reference point by point. Direct NetCDF reduced median warm-cache end-to-end time for two internally compressed products by 48.3%–82.9% and 53.6%–69.2% in two independent runtime environments. Four representative products were downloaded 24 times from FTP and Zenodo on the campus network, with file sizes and SHA-256 digests matching their catalog records. Fourteen land products and eight hourly ERA5 products supplied land parameters and meteorological forcing for US-NR1; all 8,784 time steps matched direct NetCDF reads, and Emerald initialization and a 60 s first step completed with finite states. The updated GriddingMachine provides a lightweight infrastructure for configurable production, integrity-aware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w:t>
      </w:r>
    </w:p>
    <w:p>
      <w:r>
        <w:rPr>
          <w:rFonts w:ascii="Times New Roman" w:hAnsi="Times New Roman" w:eastAsia="宋体"/>
        </w:rPr>
        <w:t>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本研究将GriddingMachine由标准数据集合与标签化访问工具扩展为面向全球规则网格数据的可执行生命周期框架。其核心推进体现在三个相互衔接的层面：生产端以共享YAML契约统一表达源维度、坐标、数值变换、Gapfill和质量控制，形成可复用的标准NetCDF生产流程；分发端以独立目录连接机构FTP、Zenodo及其他社区镜像，并通过直接NetCDF、事务式缓存和</w:t>
      </w:r>
      <w:r>
        <w:rPr>
          <w:rFonts w:ascii="Consolas" w:hAnsi="Consolas" w:eastAsia="等线"/>
        </w:rPr>
        <w:t>SIZE/SHA256</w:t>
      </w:r>
      <w:r>
        <w:rPr>
          <w:rFonts w:ascii="Times New Roman" w:hAnsi="Times New Roman" w:eastAsia="宋体"/>
        </w:rPr>
        <w:t>构建内容一致的可信分发链；应用端以统一读取和模型输入组织连接标准数据产品与Emerald。</w:t>
      </w:r>
    </w:p>
    <w:p>
      <w:r>
        <w:rPr>
          <w:rFonts w:ascii="Times New Roman" w:hAnsi="Times New Roman" w:eastAsia="宋体"/>
        </w:rPr>
        <w:t>本文通过OISST产品转换[9]、高程（ELEV）与叶面积指数（LAI）产品分发效率、FTP—Zenodo镜像访问，以及由14类陆面产品和8类ERA5逐时产品[10]构成的US-NR1模型应用，分别呈现该框架的标准化能力、数据获取效率、内容完整性和模型适配能力。</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GriddingMachine从2022版基线到新版端到端工作流的架构更新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以共享YAML契约连接异构源数据、标准化与质量控制、标准NetCDF产品、独立数据目录、事务式获取以及统一读取和模型调用，形成贯通数据生产、可信分发与模型应用的端到端工作流；（c）O1—O5依次表示统一数据契约、简化数据制品、目录独立演化、事务式下载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end-to-end workflow.</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workflow uses a shared YAML contract to connect heterogeneous source data, standardization and quality control, standard NetCDF products, an independent catalog, transactional acquisition, and unified reading and model invocation, thereby integrating data production, trusted distribution, and model application. (c) O1--O5 denote the unified data contract, simplified data artifacts, independent catalog evolution, transactional downloads, and model-ready interfaces. Orange dashed lines map these updates to the corresponding baseline components and core nodes in the updated workflow.</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生产引擎依据配置枚举输入，依次完成读取、标准化、质量控制和保存，最终生成以统一标签命名的NetCDF产品。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镜像地址、文件字节数和SHA-256；目录生成过程从权威标准文件计算完整性元数据并以事务方式写入YAML。目录与访问软件分开维护，使数据产品列表及其分发位置能够独立演化。</w:t>
      </w:r>
    </w:p>
    <w:p>
      <w:r>
        <w:rPr>
          <w:rFonts w:ascii="Times New Roman" w:hAnsi="Times New Roman" w:eastAsia="宋体"/>
        </w:rPr>
        <w:t>在数据使用端，目录管理模块显式设置数据根目录与目录来源。目录更新经临时文件完成schema校验和事务式替换，并保留上一有效版本。产品获取模块提取各镜像地址的主机名，以可获得的平均往返延迟辅助确定候选顺序，同时保留全部镜像并依次回退。每次传输创建独立临时文件，文件通过字节数和SHA-256核验后进入正式数据目录。本文所称“可信分发”即由版本化目录、等价镜像、事务落盘和内容完整性校验共同构成的获取机制。</w:t>
      </w:r>
    </w:p>
    <w:p>
      <w:r>
        <w:rPr>
          <w:rFonts w:ascii="Times New Roman" w:hAnsi="Times New Roman" w:eastAsia="宋体"/>
        </w:rPr>
        <w:t>数据读取层提供标签驱动的整场、指定周期及站点读取，并进一步完成格点尺度陆面参数融合与气象驱动组织。由14类产品组成的第二套陆面参数集合（代码标识为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）贯通参数组织链路并进入Emerald初始化，使可信分发的数据产品直接进入模型应用。</w:t>
      </w:r>
    </w:p>
    <w:p>
      <w:r>
        <w:rPr>
          <w:rFonts w:ascii="Times New Roman" w:hAnsi="Times New Roman" w:eastAsia="宋体"/>
        </w:rPr>
        <w:t>共享YAML、独立目录与统一读取接口共同改变了GriddingMachine的维护单元：数据处理规则由配置契约表达，数据产品与镜像由目录版本管理，模型应用继续使用稳定标签。数据产品、分发目录和访问软件由此能够在保持接口一致的条件下分别演化，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Times New Roman" w:hAnsi="Times New Roman" w:eastAsia="宋体"/>
                <w:sz w:val="18"/>
              </w:rPr>
              <w:t>陆面参数融合与气象驱动组织</w:t>
            </w:r>
          </w:p>
        </w:tc>
        <w:tc>
          <w:tcPr>
            <w:tcW w:type="dxa" w:w="2295"/>
          </w:tcPr>
          <w:p>
            <w:r>
              <w:rPr>
                <w:sz w:val="18"/>
              </w:rPr>
            </w:r>
            <w:r>
              <w:rPr>
                <w:rFonts w:ascii="Times New Roman" w:hAnsi="Times New Roman" w:eastAsia="宋体"/>
                <w:sz w:val="18"/>
              </w:rPr>
              <w:t>标准产品进入Emerald参数组织与模型初始化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schema、程序化与交互式配置生成及显式源维度映射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YAML驱动的标准数据生产</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3060"/>
          </w:tcPr>
          <w:p>
            <w:r>
              <w:rPr>
                <w:sz w:val="18"/>
              </w:rPr>
            </w:r>
            <w:r>
              <w:rPr>
                <w:rFonts w:ascii="Times New Roman" w:hAnsi="Times New Roman" w:eastAsia="宋体"/>
                <w:sz w:val="18"/>
              </w:rPr>
              <w:t>输出文件保留变量语义与主要转换过程</w:t>
            </w:r>
          </w:p>
        </w:tc>
      </w:tr>
      <w:tr>
        <w:tc>
          <w:tcPr>
            <w:tcW w:type="dxa" w:w="3060"/>
          </w:tcPr>
          <w:p>
            <w:r>
              <w:rPr>
                <w:sz w:val="18"/>
              </w:rPr>
            </w:r>
            <w:r>
              <w:rPr>
                <w:rFonts w:ascii="Times New Roman" w:hAnsi="Times New Roman" w:eastAsia="宋体"/>
                <w:sz w:val="18"/>
              </w:rPr>
              <w:t>处理记录</w:t>
            </w:r>
          </w:p>
        </w:tc>
        <w:tc>
          <w:tcPr>
            <w:tcW w:type="dxa" w:w="3060"/>
          </w:tcPr>
          <w:p>
            <w:r>
              <w:rPr>
                <w:sz w:val="18"/>
              </w:rPr>
            </w:r>
            <w:r>
              <w:rPr>
                <w:rFonts w:ascii="Times New Roman" w:hAnsi="Times New Roman" w:eastAsia="宋体"/>
                <w:sz w:val="18"/>
              </w:rPr>
              <w:t>YAML声明维度、坐标、数值与Gapfill规则；NetCDF属性写入逐项变更记录</w:t>
            </w:r>
          </w:p>
        </w:tc>
        <w:tc>
          <w:tcPr>
            <w:tcW w:type="dxa" w:w="3060"/>
          </w:tcPr>
          <w:p>
            <w:r>
              <w:rPr>
                <w:sz w:val="18"/>
              </w:rPr>
            </w:r>
            <w:r>
              <w:rPr>
                <w:rFonts w:ascii="Times New Roman" w:hAnsi="Times New Roman" w:eastAsia="宋体"/>
                <w:sz w:val="18"/>
              </w:rPr>
              <w:t>配置意图与产品处理历史相互对应</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3060"/>
          </w:tcPr>
          <w:p>
            <w:r>
              <w:rPr>
                <w:sz w:val="18"/>
              </w:rPr>
            </w:r>
            <w:r>
              <w:rPr>
                <w:rFonts w:ascii="Times New Roman" w:hAnsi="Times New Roman" w:eastAsia="宋体"/>
                <w:sz w:val="18"/>
              </w:rPr>
              <w:t>配置、输入与代码版本共同重建标准产品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。显式schema版本既承接既有配置，也为配置契约的持续演化建立清晰边界。</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，逐点结果与独立参考数组一致。框1保留维度、坐标、数值和Gapfill等核心字段，完整字段字典、命令及目录组织由版本化数据贡献指南提供。</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r>
        <w:rPr>
          <w:rFonts w:ascii="Times New Roman" w:hAnsi="Times New Roman" w:eastAsia="宋体"/>
        </w:rPr>
        <w:t>配置构建器接收文件命名、变量标签、分辨率、时间尺度、版本、输入输出目录、单位、数值范围、缩放、坐标方向和GriddingMachine标签等结构化输入，并生成YAML配置。统一的字段名称、层级和默认值使贡献者能够将数据源约定稳定转换为可执行配置。</w:t>
      </w:r>
    </w:p>
    <w:p>
      <w:r>
        <w:rPr>
          <w:rFonts w:ascii="Times New Roman" w:hAnsi="Times New Roman" w:eastAsia="宋体"/>
        </w:rPr>
        <w:t>配置构建器与生产流水线调用同一schema；其输出采用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字段信息在源数据读取前完成解析。框架同时提供本地交互式配置界面，支持表单输入、YAML预览与保存，生成结果可直接进入标准产品生产流程。框1、交互式生成器和版本化指南共同构成面向贡献者的配置范式。</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生产流水线完成维度与数值转换后，对待保存数组开展空间方向检查。检查过程依据变量维度名生成带经纬度坐标轴的方向图；二维数据以静态图呈现，三维数据沿周期维形成动态图。维护者据此确认南北方向、东西方向和经度平移结果，方向正确与南北反转的非对称位置编码图得到准确区分。YAML中的</w:t>
      </w:r>
      <w:r>
        <w:rPr>
          <w:rFonts w:ascii="Consolas" w:hAnsi="Consolas" w:eastAsia="等线"/>
        </w:rPr>
        <w:t>VERIFY_ONCE</w:t>
      </w:r>
      <w:r>
        <w:rPr>
          <w:rFonts w:ascii="Times New Roman" w:hAnsi="Times New Roman" w:eastAsia="宋体"/>
        </w:rPr>
        <w:t>用于管理同一配置组合的首次确认状态，人工空间判断与自动坐标、结构和逐点数值检查共同组成方向质量控制体系。</w:t>
      </w:r>
    </w:p>
    <w:p>
      <w:r>
        <w:rPr>
          <w:rFonts w:ascii="Times New Roman" w:hAnsi="Times New Roman" w:eastAsia="宋体"/>
        </w:rPr>
        <w:t>对于已经生成的NetCDF文件，成品质量检查进一步核对空间覆盖类型、</w:t>
      </w:r>
      <w:r>
        <w:rPr>
          <w:rFonts w:ascii="Consolas" w:hAnsi="Consolas" w:eastAsia="等线"/>
        </w:rPr>
        <w:t>lon</w:t>
      </w:r>
      <w:r>
        <w:rPr>
          <w:rFonts w:ascii="Times New Roman" w:hAnsi="Times New Roman" w:eastAsia="宋体"/>
        </w:rPr>
        <w:t>和</w:t>
      </w:r>
      <w:r>
        <w:rPr>
          <w:rFonts w:ascii="Consolas" w:hAnsi="Consolas" w:eastAsia="等线"/>
        </w:rPr>
        <w:t>lat</w:t>
      </w:r>
      <w:r>
        <w:rPr>
          <w:rFonts w:ascii="Times New Roman" w:hAnsi="Times New Roman" w:eastAsia="宋体"/>
        </w:rPr>
        <w:t>维度、坐标变量及主变量</w:t>
      </w:r>
      <w:r>
        <w:rPr>
          <w:rFonts w:ascii="Consolas" w:hAnsi="Consolas" w:eastAsia="等线"/>
        </w:rPr>
        <w:t>data</w:t>
      </w:r>
      <w:r>
        <w:rPr>
          <w:rFonts w:ascii="Times New Roman" w:hAnsi="Times New Roman" w:eastAsia="宋体"/>
        </w:rPr>
        <w:t>；三维产品同时核对周期维</w:t>
      </w:r>
      <w:r>
        <w:rPr>
          <w:rFonts w:ascii="Consolas" w:hAnsi="Consolas" w:eastAsia="等线"/>
        </w:rPr>
        <w:t>ind</w:t>
      </w:r>
      <w:r>
        <w:rPr>
          <w:rFonts w:ascii="Times New Roman" w:hAnsi="Times New Roman" w:eastAsia="宋体"/>
        </w:rPr>
        <w:t>及各维长度的一致性。数值检查读取完整数组，统计有效值范围并与产品配置中的物理范围相互核对。</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2"/>
      </w:pPr>
      <w:r>
        <w:rPr>
          <w:rFonts w:ascii="Times New Roman" w:hAnsi="Times New Roman" w:eastAsia="宋体"/>
        </w:rPr>
        <w:t>2.3 产品发布与独立数据目录</w:t>
      </w:r>
    </w:p>
    <w:p>
      <w:pPr>
        <w:pStyle w:val="Heading3"/>
      </w:pPr>
      <w:r>
        <w:rPr>
          <w:rFonts w:ascii="Times New Roman" w:hAnsi="Times New Roman" w:eastAsia="宋体"/>
        </w:rPr>
        <w:t>2.3.1 标签生成与目录登记</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。生成输出路径时，标签生成器读取当前数据目录并识别已有产品状态，以保持产品标识的唯一性。</w:t>
      </w:r>
    </w:p>
    <w:p>
      <w:r>
        <w:rPr>
          <w:rFonts w:ascii="Times New Roman" w:hAnsi="Times New Roman" w:eastAsia="宋体"/>
        </w:rPr>
        <w:t>数据发布与目录登记采用解耦设计。维护者在Zenodo、机构FTP或其他存储中发布标准产品，目录生成器根据标准NetCDF路径和公开地址生成逻辑路径、去重后的镜像列表、文件字节数和SHA-256，并按标签排序后通过临时文件更新</w:t>
      </w:r>
      <w:r>
        <w:rPr>
          <w:rFonts w:ascii="Consolas" w:hAnsi="Consolas" w:eastAsia="等线"/>
        </w:rPr>
        <w:t>Artifacts.yaml</w:t>
      </w:r>
      <w:r>
        <w:rPr>
          <w:rFonts w:ascii="Times New Roman" w:hAnsi="Times New Roman" w:eastAsia="宋体"/>
        </w:rPr>
        <w:t>，由此形成职责清晰、内容可校验的目录生成流程。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标准文件重新生成完整性元数据，镜像地址巡检则持续维护各分发副本的可访问性。</w:t>
      </w:r>
    </w:p>
    <w:p>
      <w:pPr>
        <w:pStyle w:val="Heading3"/>
      </w:pPr>
      <w:r>
        <w:rPr>
          <w:rFonts w:ascii="Times New Roman" w:hAnsi="Times New Roman" w:eastAsia="宋体"/>
        </w:rPr>
        <w:t>2.3.2 数据贡献与发布流程</w:t>
      </w:r>
    </w:p>
    <w:p>
      <w:r>
        <w:rPr>
          <w:rFonts w:ascii="Times New Roman" w:hAnsi="Times New Roman" w:eastAsia="宋体"/>
        </w:rPr>
        <w:t>一个新数据集进入GriddingMachine依次经历原始文件准备、YAML配置生成、标准产品生产、质量检查、NetCDF发布、目录登记以及下游更新与读取。质量检查覆盖维度、坐标、变量、数值范围、缺失值和空间方向；目录条目记录标签、逻辑路径、镜像地址、文件大小和SHA-256。机构FTP提高校内访问效率，Zenodo或其他公共存储面向社区提供长期访问，其他维护者也可在目录条目中增加内容相同的镜像。版本化指南与包含固定输入路径、完整YAML示例的贡献模板进一步连接各环节，使最终NetCDF、目录项与下游读取保持一致。</w:t>
      </w:r>
    </w:p>
    <w:p>
      <w:pPr>
        <w:pStyle w:val="Heading2"/>
      </w:pPr>
      <w:r>
        <w:rPr>
          <w:rFonts w:ascii="Times New Roman" w:hAnsi="Times New Roman" w:eastAsia="宋体"/>
        </w:rPr>
        <w:t>2.4 多镜像可信分发</w:t>
      </w:r>
    </w:p>
    <w:p>
      <w:pPr>
        <w:pStyle w:val="Heading3"/>
      </w:pPr>
      <w:r>
        <w:rPr>
          <w:rFonts w:ascii="Times New Roman" w:hAnsi="Times New Roman" w:eastAsia="宋体"/>
        </w:rPr>
        <w:t>2.4.1 目录初始化与更新</w:t>
      </w:r>
    </w:p>
    <w:p>
      <w:r>
        <w:rPr>
          <w:rFonts w:ascii="Consolas" w:hAnsi="Consolas" w:eastAsia="等线"/>
        </w:rPr>
        <w:t>GriddingMachine.jl</w:t>
      </w:r>
      <w:r>
        <w:rPr>
          <w:rFonts w:ascii="Times New Roman" w:hAnsi="Times New Roman" w:eastAsia="宋体"/>
        </w:rPr>
        <w:t>通过目录与数据获取模块（Collector）管理目录和标准产品。数据根目录、目录来源和本地目录文件均可显式配置；事务缓存区保存传输中的临时内容，正式数据区按照目录逻辑路径保存通过完整性校验的NetCDF。目录加载、版本更新和产品获取分别触发，使网络访问与科学数据读取保持清晰边界。</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r>
        <w:rPr>
          <w:rFonts w:ascii="Times New Roman" w:hAnsi="Times New Roman" w:eastAsia="宋体"/>
        </w:rPr>
        <w:t>目录更新既支持直接YAML地址，也支持从Zenodo落地页解析目录文件。新目录先写入临时路径，完成根节点解析和schema校验后再替换正式文件，同时保留上一有效版本。该事务过程连接远端目录获取、结构确认和版本切换，实现数据目录的独立发布与持续更新。</w:t>
      </w:r>
    </w:p>
    <w:p>
      <w:pPr>
        <w:pStyle w:val="Heading3"/>
      </w:pPr>
      <w:r>
        <w:rPr>
          <w:rFonts w:ascii="Times New Roman" w:hAnsi="Times New Roman" w:eastAsia="宋体"/>
        </w:rPr>
        <w:t>2.4.2 镜像选择与事务式缓存</w:t>
      </w:r>
    </w:p>
    <w:p>
      <w:r>
        <w:rPr>
          <w:rFonts w:ascii="Times New Roman" w:hAnsi="Times New Roman" w:eastAsia="宋体"/>
        </w:rPr>
        <w:t>产品获取接口以数据标签为入口，统一组织目录刷新、正式文件复用和远端传输。下载阶段从每个FTP或HTTP(S)地址提取主机名，以可获得的平均往返延迟生成候选顺序；其余地址按目录顺序保留，全部镜像共同组成完整回退队列。</w:t>
      </w:r>
    </w:p>
    <w:p>
      <w:r>
        <w:rPr>
          <w:rFonts w:ascii="Times New Roman" w:hAnsi="Times New Roman" w:eastAsia="宋体"/>
        </w:rPr>
        <w:t>下载循环按候选顺序逐一尝试镜像，每次尝试均写入进程级唯一的临时文件。程序核对文件生成状态、字节数和SHA-256；校验通过后以原子移动进入正式路径，各次尝试的临时内容随当前状态独立回收。严格完整性模式要求目录同时提供字节数和摘要，兼容模式承接历史目录。镜像遍历完成后返回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共同确定数据产品的一致性。全库同步在更新目录后遍历标签并复用相同事务逻辑；历史数据整理、目录树和数据集状态查询形成配套维护接口。相关命令、参数和状态恢复方式集中列入补充材料与版本化用户指南。</w:t>
      </w:r>
    </w:p>
    <w:p>
      <w:pPr>
        <w:pStyle w:val="Heading2"/>
      </w:pPr>
      <w:r>
        <w:rPr>
          <w:rFonts w:ascii="Times New Roman" w:hAnsi="Times New Roman" w:eastAsia="宋体"/>
        </w:rPr>
        <w:t>2.5 统一读取与模型就绪接口</w:t>
      </w:r>
    </w:p>
    <w:p>
      <w:pPr>
        <w:pStyle w:val="Heading3"/>
      </w:pPr>
      <w:r>
        <w:rPr>
          <w:rFonts w:ascii="Times New Roman" w:hAnsi="Times New Roman" w:eastAsia="宋体"/>
        </w:rPr>
        <w:t>2.5.1 标准网格数据读取</w:t>
      </w:r>
    </w:p>
    <w:p>
      <w:r>
        <w:rPr>
          <w:rFonts w:ascii="Times New Roman" w:hAnsi="Times New Roman" w:eastAsia="宋体"/>
        </w:rPr>
        <w:t>标准网格数据读取接口支持以本地NetCDF路径或数据标签访问产品，并提供整场数组、指定周期切片、站点全部周期和站点指定周期4种读取方式。标签对应的产品可由目录模块自动获取；默认返回标准变量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。读取层直接继承生产端统一的单位、缺失值和物理范围，使处理规则集中于共享生产契约，并兼容既有读取方式。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2.5.2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状态同步进入质量控制。多个标准产品由此形成结构一致的格点级模型输入。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标签驱动的数据访问、陆面参数融合与气象驱动组织共同构成模型就绪转换层。标准产品在这一层被组织为结构一致的陆面参数和逐时气象字段，并与Emerald模型的数据结构相衔接。</w:t>
      </w:r>
    </w:p>
    <w:p>
      <w:pPr>
        <w:pStyle w:val="Heading2"/>
      </w:pPr>
      <w:r>
        <w:rPr>
          <w:rFonts w:ascii="Times New Roman" w:hAnsi="Times New Roman" w:eastAsia="宋体"/>
        </w:rPr>
        <w:t>2.6 端到端数据流与公共接口</w:t>
      </w:r>
    </w:p>
    <w:p>
      <w:r>
        <w:rPr>
          <w:rFonts w:ascii="Times New Roman" w:hAnsi="Times New Roman" w:eastAsia="宋体"/>
        </w:rPr>
        <w:t>与2022版通过标签组织数据访问的思路一致[4]，新版将目录配置与更新、完整性下载、标准网格读取和模型输入组织连接为稳定的公共数据流。用户以数据标签发现产品，经镜像选择和内容校验获得标准NetCDF，再读取整场、周期或格点数据，并进一步形成陆面参数或气象驱动。公共接口依次对应环境配置（</w:t>
      </w:r>
      <w:r>
        <w:rPr>
          <w:rFonts w:ascii="Consolas" w:hAnsi="Consolas" w:eastAsia="等线"/>
        </w:rPr>
        <w:t>configure!</w:t>
      </w:r>
      <w:r>
        <w:rPr>
          <w:rFonts w:ascii="Times New Roman" w:hAnsi="Times New Roman" w:eastAsia="宋体"/>
        </w:rPr>
        <w:t>）、目录更新（</w:t>
      </w:r>
      <w:r>
        <w:rPr>
          <w:rFonts w:ascii="Consolas" w:hAnsi="Consolas" w:eastAsia="等线"/>
        </w:rPr>
        <w:t>update_database!</w:t>
      </w:r>
      <w:r>
        <w:rPr>
          <w:rFonts w:ascii="Times New Roman" w:hAnsi="Times New Roman" w:eastAsia="宋体"/>
        </w:rPr>
        <w:t>）、产品获取（</w:t>
      </w:r>
      <w:r>
        <w:rPr>
          <w:rFonts w:ascii="Consolas" w:hAnsi="Consolas" w:eastAsia="等线"/>
        </w:rPr>
        <w:t>download_dataset!</w:t>
      </w:r>
      <w:r>
        <w:rPr>
          <w:rFonts w:ascii="Times New Roman" w:hAnsi="Times New Roman" w:eastAsia="宋体"/>
        </w:rPr>
        <w:t>）、标准读取（</w:t>
      </w:r>
      <w:r>
        <w:rPr>
          <w:rFonts w:ascii="Consolas" w:hAnsi="Consolas" w:eastAsia="等线"/>
        </w:rPr>
        <w:t>read_dataset</w:t>
      </w:r>
      <w:r>
        <w:rPr>
          <w:rFonts w:ascii="Times New Roman" w:hAnsi="Times New Roman" w:eastAsia="宋体"/>
        </w:rPr>
        <w:t>）和模型输入组织（</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）；完整Julia示例、配置字段字典、目录登记及状态恢复命令集中列入补充材料与版本化用户指南。</w:t>
      </w:r>
    </w:p>
    <w:p>
      <w:pPr>
        <w:pStyle w:val="Heading1"/>
      </w:pPr>
      <w:r>
        <w:rPr>
          <w:rFonts w:ascii="Times New Roman" w:hAnsi="Times New Roman" w:eastAsia="宋体"/>
        </w:rPr>
        <w:t>3 应用案例与评价方法</w:t>
      </w:r>
    </w:p>
    <w:p>
      <w:pPr>
        <w:pStyle w:val="Heading2"/>
      </w:pPr>
      <w:r>
        <w:rPr>
          <w:rFonts w:ascii="Times New Roman" w:hAnsi="Times New Roman" w:eastAsia="宋体"/>
        </w:rPr>
        <w:t>3.1 标准产品生产与OISST案例</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表3从维度（D）、坐标（C）、数值（N）、Gapfill（G）、YAML配置（Y）、输出（O）和空间方向检查（V）7个方面组织31组代表性处理实例。各组对应共享生产契约中的一个关键环节，并以结构、数值或产品状态表征标准化结果。</w:t>
      </w:r>
    </w:p>
    <w:p>
      <w:pPr>
        <w:ind w:firstLine="0"/>
      </w:pPr>
      <w:r>
        <w:rPr>
          <w:rFonts w:ascii="Times New Roman" w:hAnsi="Times New Roman" w:eastAsia="宋体"/>
          <w:b/>
        </w:rPr>
        <w:t>表3 GriddingMachineDatasets标准产品生产能力与质量控制</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实例数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和维度约束</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Float32、线性缩放、有效范围和原值处理</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Standardized-product production capabilities and quality control in GriddingMachineDatasets.</w:t>
      </w:r>
      <w:r>
        <w:rPr>
          <w:rFonts w:ascii="Times New Roman" w:hAnsi="Times New Roman" w:eastAsia="宋体"/>
        </w:rPr>
        <w:t xml:space="preserve"> The representative cases cover dimensions, coordinates, numerical transformations, gap filling, YAML configuration, product output, and spatial-orientation inspection.</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标准产品生产流程在各操作系统环境中保持一致行为。29组自动处理实例连续完成，正向图和南北反转图得到准确区分，体现了共享生产契约在数组变换、配置解析和空间方向控制方面的一致性。</w:t>
      </w:r>
    </w:p>
    <w:p>
      <w:r>
        <w:rPr>
          <w:rFonts w:ascii="Times New Roman" w:hAnsi="Times New Roman" w:eastAsia="宋体"/>
        </w:rPr>
        <w:t>配置构建器面向二维数据、含不确定性变量的三维数据和经纬度变换数据生成符合共享schema的配置，并将其直接交给标准产品生产引擎。数据贡献案例进一步贯通配置生成、标准化、自动与人工质量检查、产品发布、目录登记以及下游更新、下载和读取，形成面向数据贡献者的完整生产入口。</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多镜像可靠性与网络访问</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可靠性分析在两个独立环境中构建内容一致、访问状态可配置的镜像集合，通过延迟分数组织候选顺序，并设置13个代表性场景，覆盖镜像排序与回退、网络访问异常、缓存状态和文件内容完整性。每个场景在各环境中重复5次，记录候选选择、镜像遍历、正式文件状态及SHA-256，据此刻画事务式获取在镜像切换过程中的稳定性。校园网FTP与Zenodo访问进一步呈现机构镜像和公共镜像的互补分发特征与内容一致性。</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维度、360×180×8784形状及单位属性。应用层输出与底层NetCDF直接读取的同一格点序列逐点比较；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多操作系统环境运行与持续集成</w:t>
      </w:r>
    </w:p>
    <w:p>
      <w:r>
        <w:rPr>
          <w:rFonts w:ascii="Times New Roman" w:hAnsi="Times New Roman" w:eastAsia="宋体"/>
        </w:rPr>
        <w:t>跨操作系统运行覆盖Windows、macOS和Linux，采用本地运行与持续集成相结合的方式，贯通标准产品生产、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持续集成使用确定性NetCDF参考数据维护代码路径、文件状态和内容完整性，独立运行环境进一步覆盖ELEV/LAI效率、FTP—Zenodo镜像访问和陆面参数集合应用，共同形成从自动维护到数据应用的分层运行体系。</w:t>
      </w:r>
    </w:p>
    <w:p>
      <w:pPr>
        <w:pStyle w:val="Heading1"/>
      </w:pPr>
      <w:r>
        <w:rPr>
          <w:rFonts w:ascii="Times New Roman" w:hAnsi="Times New Roman" w:eastAsia="宋体"/>
        </w:rPr>
        <w:t>4 结果与性能分析</w:t>
      </w:r>
    </w:p>
    <w:p>
      <w:r>
        <w:rPr>
          <w:rFonts w:ascii="Times New Roman" w:hAnsi="Times New Roman" w:eastAsia="宋体"/>
        </w:rPr>
        <w:t>新版GriddingMachine的主要功能与应用表现汇总于表4。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功能模块</w:t>
            </w:r>
          </w:p>
        </w:tc>
        <w:tc>
          <w:tcPr>
            <w:tcW w:type="dxa" w:w="3060"/>
            <w:shd w:fill="D9EAF7"/>
          </w:tcPr>
          <w:p>
            <w:r>
              <w:rPr>
                <w:b/>
                <w:sz w:val="18"/>
              </w:rPr>
            </w:r>
            <w:r>
              <w:rPr>
                <w:rFonts w:ascii="Times New Roman" w:hAnsi="Times New Roman" w:eastAsia="宋体"/>
                <w:b/>
                <w:sz w:val="18"/>
              </w:rPr>
              <w:t>核心机制</w:t>
            </w:r>
          </w:p>
        </w:tc>
        <w:tc>
          <w:tcPr>
            <w:tcW w:type="dxa" w:w="3060"/>
            <w:shd w:fill="D9EAF7"/>
          </w:tcPr>
          <w:p>
            <w:r>
              <w:rPr>
                <w:b/>
                <w:sz w:val="18"/>
              </w:rPr>
            </w:r>
            <w:r>
              <w:rPr>
                <w:rFonts w:ascii="Times New Roman" w:hAnsi="Times New Roman" w:eastAsia="宋体"/>
                <w:b/>
                <w:sz w:val="18"/>
              </w:rPr>
              <w:t>应用成果</w:t>
            </w:r>
          </w:p>
        </w:tc>
      </w:tr>
      <w:tr>
        <w:tc>
          <w:tcPr>
            <w:tcW w:type="dxa" w:w="3060"/>
          </w:tcPr>
          <w:p>
            <w:r>
              <w:rPr>
                <w:sz w:val="18"/>
              </w:rPr>
            </w:r>
            <w:r>
              <w:rPr>
                <w:rFonts w:ascii="Times New Roman" w:hAnsi="Times New Roman" w:eastAsia="宋体"/>
                <w:sz w:val="18"/>
              </w:rPr>
              <w:t>标准产品生产</w:t>
            </w:r>
          </w:p>
        </w:tc>
        <w:tc>
          <w:tcPr>
            <w:tcW w:type="dxa" w:w="3060"/>
          </w:tcPr>
          <w:p>
            <w:r>
              <w:rPr>
                <w:sz w:val="18"/>
              </w:rPr>
            </w:r>
            <w:r>
              <w:rPr>
                <w:rFonts w:ascii="Times New Roman" w:hAnsi="Times New Roman" w:eastAsia="宋体"/>
                <w:sz w:val="18"/>
              </w:rPr>
              <w:t>共享YAML schema、显式维度映射和Gapfill</w:t>
            </w:r>
          </w:p>
        </w:tc>
        <w:tc>
          <w:tcPr>
            <w:tcW w:type="dxa" w:w="3060"/>
          </w:tcPr>
          <w:p>
            <w:r>
              <w:rPr>
                <w:sz w:val="18"/>
              </w:rPr>
            </w:r>
            <w:r>
              <w:rPr>
                <w:rFonts w:ascii="Times New Roman" w:hAnsi="Times New Roman" w:eastAsia="宋体"/>
                <w:sz w:val="18"/>
              </w:rPr>
              <w:t>OISST源数据与独立参考逐点一致，二维和三维产品实现稳定生成</w:t>
            </w:r>
          </w:p>
        </w:tc>
      </w:tr>
      <w:tr>
        <w:tc>
          <w:tcPr>
            <w:tcW w:type="dxa" w:w="3060"/>
          </w:tcPr>
          <w:p>
            <w:r>
              <w:rPr>
                <w:sz w:val="18"/>
              </w:rPr>
            </w:r>
            <w:r>
              <w:rPr>
                <w:rFonts w:ascii="Times New Roman" w:hAnsi="Times New Roman" w:eastAsia="宋体"/>
                <w:sz w:val="18"/>
              </w:rPr>
              <w:t>数据制品</w:t>
            </w:r>
          </w:p>
        </w:tc>
        <w:tc>
          <w:tcPr>
            <w:tcW w:type="dxa" w:w="3060"/>
          </w:tcPr>
          <w:p>
            <w:r>
              <w:rPr>
                <w:sz w:val="18"/>
              </w:rPr>
            </w:r>
            <w:r>
              <w:rPr>
                <w:rFonts w:ascii="Times New Roman" w:hAnsi="Times New Roman" w:eastAsia="宋体"/>
                <w:sz w:val="18"/>
              </w:rPr>
              <w:t>直接NetCDF分发</w:t>
            </w:r>
          </w:p>
        </w:tc>
        <w:tc>
          <w:tcPr>
            <w:tcW w:type="dxa" w:w="3060"/>
          </w:tcPr>
          <w:p>
            <w:r>
              <w:rPr>
                <w:sz w:val="18"/>
              </w:rPr>
            </w:r>
            <w:r>
              <w:rPr>
                <w:rFonts w:ascii="Times New Roman" w:hAnsi="Times New Roman" w:eastAsia="宋体"/>
                <w:sz w:val="18"/>
              </w:rPr>
              <w:t>缓存预热后的端到端中位时间在两个独立运行环境中分别降低48.3%～82.9%和53.6%～69.2%</w:t>
            </w:r>
          </w:p>
        </w:tc>
      </w:tr>
      <w:tr>
        <w:tc>
          <w:tcPr>
            <w:tcW w:type="dxa" w:w="3060"/>
          </w:tcPr>
          <w:p>
            <w:r>
              <w:rPr>
                <w:sz w:val="18"/>
              </w:rPr>
            </w:r>
            <w:r>
              <w:rPr>
                <w:rFonts w:ascii="Times New Roman" w:hAnsi="Times New Roman" w:eastAsia="宋体"/>
                <w:sz w:val="18"/>
              </w:rPr>
              <w:t>目录与镜像</w:t>
            </w:r>
          </w:p>
        </w:tc>
        <w:tc>
          <w:tcPr>
            <w:tcW w:type="dxa" w:w="3060"/>
          </w:tcPr>
          <w:p>
            <w:r>
              <w:rPr>
                <w:sz w:val="18"/>
              </w:rPr>
            </w:r>
            <w:r>
              <w:rPr>
                <w:rFonts w:ascii="Times New Roman" w:hAnsi="Times New Roman" w:eastAsia="宋体"/>
                <w:sz w:val="18"/>
              </w:rPr>
              <w:t>独立目录、延迟辅助排序、多URL回退和事务缓存</w:t>
            </w:r>
          </w:p>
        </w:tc>
        <w:tc>
          <w:tcPr>
            <w:tcW w:type="dxa" w:w="3060"/>
          </w:tcPr>
          <w:p>
            <w:r>
              <w:rPr>
                <w:sz w:val="18"/>
              </w:rPr>
            </w:r>
            <w:r>
              <w:rPr>
                <w:rFonts w:ascii="Times New Roman" w:hAnsi="Times New Roman" w:eastAsia="宋体"/>
                <w:sz w:val="18"/>
              </w:rPr>
              <w:t>校园网FTP与Zenodo完成24次同文件下载，SHA-256摘要与目录登记值一致</w:t>
            </w:r>
          </w:p>
        </w:tc>
      </w:tr>
      <w:tr>
        <w:tc>
          <w:tcPr>
            <w:tcW w:type="dxa" w:w="3060"/>
          </w:tcPr>
          <w:p>
            <w:r>
              <w:rPr>
                <w:sz w:val="18"/>
              </w:rPr>
            </w:r>
            <w:r>
              <w:rPr>
                <w:rFonts w:ascii="Times New Roman" w:hAnsi="Times New Roman" w:eastAsia="宋体"/>
                <w:sz w:val="18"/>
              </w:rPr>
              <w:t>模型就绪访问</w:t>
            </w:r>
          </w:p>
        </w:tc>
        <w:tc>
          <w:tcPr>
            <w:tcW w:type="dxa" w:w="3060"/>
          </w:tcPr>
          <w:p>
            <w:r>
              <w:rPr>
                <w:sz w:val="18"/>
              </w:rPr>
            </w:r>
            <w:r>
              <w:rPr>
                <w:rFonts w:ascii="Times New Roman" w:hAnsi="Times New Roman" w:eastAsia="宋体"/>
                <w:sz w:val="18"/>
              </w:rPr>
              <w:t>标签驱动的数据访问、陆面参数融合和气象驱动组织</w:t>
            </w:r>
          </w:p>
        </w:tc>
        <w:tc>
          <w:tcPr>
            <w:tcW w:type="dxa" w:w="3060"/>
          </w:tcPr>
          <w:p>
            <w:r>
              <w:rPr>
                <w:sz w:val="18"/>
              </w:rPr>
            </w:r>
            <w:r>
              <w:rPr>
                <w:rFonts w:ascii="Times New Roman" w:hAnsi="Times New Roman" w:eastAsia="宋体"/>
                <w:sz w:val="18"/>
              </w:rPr>
              <w:t>14类陆面产品与8类ERA5产品形成US-NR1模型输入，8784个逐时值逐字段一致并完成Emerald首步</w:t>
            </w:r>
          </w:p>
        </w:tc>
      </w:tr>
      <w:tr>
        <w:tc>
          <w:tcPr>
            <w:tcW w:type="dxa" w:w="3060"/>
          </w:tcPr>
          <w:p>
            <w:r>
              <w:rPr>
                <w:sz w:val="18"/>
              </w:rPr>
            </w:r>
            <w:r>
              <w:rPr>
                <w:rFonts w:ascii="Times New Roman" w:hAnsi="Times New Roman" w:eastAsia="宋体"/>
                <w:sz w:val="18"/>
              </w:rPr>
              <w:t>跨操作系统运行</w:t>
            </w:r>
          </w:p>
        </w:tc>
        <w:tc>
          <w:tcPr>
            <w:tcW w:type="dxa" w:w="3060"/>
          </w:tcPr>
          <w:p>
            <w:r>
              <w:rPr>
                <w:sz w:val="18"/>
              </w:rPr>
            </w:r>
            <w:r>
              <w:rPr>
                <w:rFonts w:ascii="Times New Roman" w:hAnsi="Times New Roman" w:eastAsia="宋体"/>
                <w:sz w:val="18"/>
              </w:rPr>
              <w:t>版本化依赖与持续集成</w:t>
            </w:r>
          </w:p>
        </w:tc>
        <w:tc>
          <w:tcPr>
            <w:tcW w:type="dxa" w:w="3060"/>
          </w:tcPr>
          <w:p>
            <w:r>
              <w:rPr>
                <w:sz w:val="18"/>
              </w:rPr>
            </w:r>
            <w:r>
              <w:rPr>
                <w:rFonts w:ascii="Times New Roman" w:hAnsi="Times New Roman" w:eastAsia="宋体"/>
                <w:sz w:val="18"/>
              </w:rPr>
              <w:t>多个操作系统环境保持一致的软件路径、数据结构与模型接口</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标准产品生产与OISST结果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形成从源产品、共享YAML生产、完整性目录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组处理实例覆盖维度、坐标、数值、Gapfill、配置、输出和空间方向控制。各操作系统环境获得一致的产品结构和逐点数值结果，正向图与南北反转图得到准确区分，自动质量控制与人工空间检查共同维护标准产品的坐标语义。</w:t>
      </w:r>
    </w:p>
    <w:p>
      <w:r>
        <w:rPr>
          <w:rFonts w:ascii="Times New Roman" w:hAnsi="Times New Roman" w:eastAsia="宋体"/>
        </w:rPr>
        <w:t>数据贡献案例贯通YAML配置、标准产品生成、目录登记和下游读取，生成产品与参考数组逐点一致，目录中的文件字节数和SHA-256与产品相符。统一NetCDF读写层与配置对象复用机制进一步协调文件访问和批量生产，使二维/三维输出、坐标变换、数值处理、Gapfill和目录生成由同一工作流连接；完整YAML示例和固定输入路径共同构成可复用的数据贡献模板。</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变量均采用NetCDF内部zlib压缩级别4，对照归档采用gzip压缩级别6。回环HTTP条件下，各“数据×形式”组合经过缓存预热并按随机顺序重复测量，解包后内容均通过SHA-256校验。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缓存预热后端到端中位时间在两个环境中分别降低48.3%～82.9%和53.6%～69.2%；两个样本的传输字节分别增加6.43%和2.16%。80次SHA-256摘要核验结果一致。对于已经采用NetCDF内部压缩的数据产品，直接分发减少了额外解包时间和逻辑临时占用。置信区间、绝对时间及完整图件保存在实验材料中。</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直接NetCDF与外层tar.gz分发的端到端时间比较</w:t>
      </w:r>
      <w:r>
        <w:rPr>
          <w:rFonts w:ascii="Times New Roman" w:hAnsi="Times New Roman" w:eastAsia="宋体"/>
        </w:rPr>
        <w:t xml:space="preserve"> （a）二维高程产品ELEV；（b）三维叶面积指数产品LAI。柱高为缓存预热后端到端时间中位数，误差线为95% Bootstrap置信区间；独立环境A和B采用相同输入文件与测量协议。柱上百分比表示直接NetCDF相对于外层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time for direct NetCDF and externally archived `tar.gz` distribution.</w:t>
      </w:r>
      <w:r>
        <w:rPr>
          <w:rFonts w:ascii="Times New Roman" w:hAnsi="Times New Roman" w:eastAsia="宋体"/>
        </w:rPr>
        <w:t xml:space="preserve"> (a) The two-dimensional ELEV product; (b) the three-dimensional LAI product. Bars show median warm-cache end-to-end time, and error bars show 95% bootstrap confidence intervals. Independent environments A and B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目录管理与可信多镜像分发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个受控场景在两个独立操作系统环境中分别重复5次，共形成130次获取记录。结果表明，目录与数据获取模块能够优先选择延迟较低的候选，同时保留全部镜像并依次回退。每次获取采用独立临时文件，内容经字节数和SHA-256确认后进入正式路径；所有记录均完成临时文件回收，既有正式文件摘要保持一致。</w:t>
      </w:r>
    </w:p>
    <w:p>
      <w:r>
        <w:rPr>
          <w:rFonts w:ascii="Times New Roman" w:hAnsi="Times New Roman" w:eastAsia="宋体"/>
        </w:rPr>
        <w:t>公共网络环境下，4个标签经Zenodo完成24次下载，全部达到登记字节数并通过SHA-256核验。下载时间随文件规模呈梯度变化，重复传输的SHA-256摘要与目录登记值一致，体现了公共镜像、事务缓存和完整性校验的协同作用。</w:t>
      </w:r>
    </w:p>
    <w:p>
      <w:r>
        <w:rPr>
          <w:rFonts w:ascii="Times New Roman" w:hAnsi="Times New Roman" w:eastAsia="宋体"/>
        </w:rPr>
        <w:t>中科大校园网环境下，FTP与Zenodo各完成12次同文件下载，24次结果均达到登记字节数并通过SHA-256核验。4个文件的FTP中位下载时间为0.071～0.356 s，Zenodo为1.091～14.092 s；FTP往返延迟为1.0～13.5 ms，延迟辅助排序与实际传输表现一致。机构镜像与公共镜像提供内容一致的分发副本，多镜像目录据此适配不同访问环境。</w:t>
      </w:r>
    </w:p>
    <w:p>
      <w:pPr>
        <w:pStyle w:val="Heading2"/>
      </w:pPr>
      <w:r>
        <w:rPr>
          <w:rFonts w:ascii="Times New Roman" w:hAnsi="Times New Roman" w:eastAsia="宋体"/>
        </w:rPr>
        <w:t>4.4 统一读取与模型就绪应用</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应用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严格递增且与独立公式逐点一致。气象组织层形成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mm。该数值尺度与ERA5逐小时累计降水的米制表达[11]及Emerald由水层厚度转换为摩尔通量的适配关系一致。本轮更新据此将生产端降水单位属性统一为</w:t>
      </w:r>
      <w:r>
        <w:rPr>
          <w:rFonts w:ascii="Consolas" w:hAnsi="Consolas" w:eastAsia="等线"/>
        </w:rPr>
        <w:t>m</w:t>
      </w:r>
      <w:r>
        <w:rPr>
          <w:rFonts w:ascii="Times New Roman" w:hAnsi="Times New Roman" w:eastAsia="宋体"/>
        </w:rPr>
        <w:t>，使标准产品元数据、数值尺度和模型换算形成一致的量纲链条。真实年度案例由此将模型就绪应用从字段组织推进到格点提取、时间轴构建、量纲衔接和模型首步计算的完整过程。</w:t>
      </w:r>
    </w:p>
    <w:p>
      <w:pPr>
        <w:pStyle w:val="Heading2"/>
      </w:pPr>
      <w:r>
        <w:rPr>
          <w:rFonts w:ascii="Times New Roman" w:hAnsi="Times New Roman" w:eastAsia="宋体"/>
        </w:rPr>
        <w:t>4.5 多操作系统环境运行表现</w:t>
      </w:r>
    </w:p>
    <w:p>
      <w:r>
        <w:rPr>
          <w:rFonts w:ascii="Times New Roman" w:hAnsi="Times New Roman" w:eastAsia="宋体"/>
        </w:rPr>
        <w:t>各操作系统环境均可运行标准产品生产、直接NetCDF分发、多镜像获取和Emerald模型接口，并获得一致的数据结构、SHA-256摘要和模型字段。同一下载接口在各环境中实现延迟辅助排序、全候选保留和顺序回退；公共网络中的Zenodo下载和校园网中的FTP—Zenodo对照均通过完整性核验，共同呈现公共镜像与机构镜像的互补价值。</w:t>
      </w:r>
    </w:p>
    <w:p>
      <w:r>
        <w:rPr>
          <w:rFonts w:ascii="Times New Roman" w:hAnsi="Times New Roman" w:eastAsia="宋体"/>
        </w:rPr>
        <w:t>GriddingMachine、GriddingMachineDatasets、Emerald及研究材料仓库的持续集成工作流连接统一依赖、确定性参考数据和模型接口，使软件更新持续继承本文建立的数据生产、可信分发和模型调用能力。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把这一数据集合扩展为可维护的生命周期框架：共享YAML契约保存异构源数据的处理意图，独立目录与事务缓存连接机构和公共镜像，模型就绪层组织陆面参数与逐时气象驱动。OISST、ELEV/LAI、FTP—Zenodo及US-NR1案例分别从生产、分发和应用层呈现框架能力，使数据产品的生成依据、网络副本、内容摘要与模型字段建立可追踪联系。</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[12]；Pangeo倡导分析就绪、云优化数据以及计算与数据邻近的云原生模式[13]，Pangeo Forge进一步以可复用配方和目录组织分析就绪数据生产[14]。GriddingMachine与这些基础设施形成互补，面向经过选择和统一的全球规则网格产品，以及需要在Julia科学计算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标签驱动的数据访问、格点尺度陆面参数融合和气象驱动组织把标准产品转换为模型所需字段。Pangeo Forge侧重云端分析就绪数据生产的配方—基础设施分离[14]，本文流程侧重可直接下载的单体NetCDF、离线缓存、完整性落盘和固定模型接口。云优化分块格式适配超大规模近数据计算[13]，ESGF适配CMIP等机构联合治理[12]，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[15]；Pooch以文件名、URL和SHA-256注册表实现远端文件获取、本地缓存和完整性校验[16]；STAC为广泛地理空间资产提供通用元数据结构与查询标准[17]。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独立目录提高数据的可发现性，多URL和直接NetCDF增强获取能力，统一网格与变量约定促进互操作，文件级变更记录与发布级配置归档共同支撑复用[1]。FAIR4RS强调科研软件的可执行性、复合依赖、持续演化和版本管理[18]；TRUST原则进一步提出透明度、责任、用户关注、可持续性和技术能力[19]。对我国国家科学数据中心的调研也显示，标准化元数据、持久标识与清晰的数据使用信息是提升科学数据复用水平的重要环节[20]。</w:t>
      </w:r>
    </w:p>
    <w:p>
      <w:r>
        <w:rPr>
          <w:rFonts w:ascii="Times New Roman" w:hAnsi="Times New Roman" w:eastAsia="宋体"/>
        </w:rPr>
        <w:t>GriddingMachine以权威文件生成</w:t>
      </w:r>
      <w:r>
        <w:rPr>
          <w:rFonts w:ascii="Consolas" w:hAnsi="Consolas" w:eastAsia="等线"/>
        </w:rPr>
        <w:t>SIZE/SHA256</w:t>
      </w:r>
      <w:r>
        <w:rPr>
          <w:rFonts w:ascii="Times New Roman" w:hAnsi="Times New Roman" w:eastAsia="宋体"/>
        </w:rPr>
        <w:t>，通过下载后校验、目录事务替换和版本化依赖连接数据产品、目录与软件环境。OISST和ELEV案例进一步将配置、坐标、科学数组、文件摘要和读取结果纳入同一复现链，为软件与数据版本的共同引用提供基础[8]。</w:t>
      </w:r>
    </w:p>
    <w:p>
      <w:pPr>
        <w:pStyle w:val="Heading2"/>
      </w:pPr>
      <w:r>
        <w:rPr>
          <w:rFonts w:ascii="Times New Roman" w:hAnsi="Times New Roman" w:eastAsia="宋体"/>
        </w:rPr>
        <w:t>5.4 框架扩展与应用前景</w:t>
      </w:r>
    </w:p>
    <w:p>
      <w:r>
        <w:rPr>
          <w:rFonts w:ascii="Times New Roman" w:hAnsi="Times New Roman" w:eastAsia="宋体"/>
        </w:rPr>
        <w:t>共享YAML契约为历史产品迁移以及非规则网格、区域投影和复杂时间坐标的源适配提供统一入口；坐标单调性、值域、逐点数组断言与方向图能够进一步汇入同一质量报告。独立目录和多镜像机制也便于积累不同文件规模、网络条件与持续时间下的传输观测，从而持续优化候选排序和镜像组织。围绕OISST建立的异构产品生产链可自然扩展至多时段海洋与气象数据，结构化目录服务和永久软件归档则将增强数据发现、版本引用及跨团队复用能力。</w:t>
      </w:r>
    </w:p>
    <w:p>
      <w:r>
        <w:rPr>
          <w:rFonts w:ascii="Times New Roman" w:hAnsi="Times New Roman" w:eastAsia="宋体"/>
        </w:rPr>
        <w:t>数据贡献模板、规则网格索引、陆面状态分流、参数融合及气象驱动组织共同构成数据产品与地球系统模型之间的轻量中间层。真实案例推动模型就绪层形成覆盖字段、形状、时间轴和量纲关系的质量契约，并为多区域、多年份、长期积分及多模型适配提供可复用的数据入口。</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schema、显式源维度映射、Gapfill、独立目录、直接NetCDF、事务式缓存及统一读取接口组成的可执行数据生命周期，实现从异构源数据到模型就绪输入的贯通。</w:t>
      </w:r>
    </w:p>
    <w:p>
      <w:r>
        <w:rPr>
          <w:rFonts w:ascii="Times New Roman" w:hAnsi="Times New Roman" w:eastAsia="宋体"/>
        </w:rPr>
        <w:t>OISST V2.1产品从四维打包源数据生成1440×720标准海表温度产品，坐标、有效值掩膜和691 150个物理值与独立参考逐点一致。对于已经内部压缩的ELEV和LAI产品，直接NetCDF在两个独立环境中将缓存预热后的端到端中位时间降低48.3%～82.9%和53.6%～69.2%；校园网内4个代表性产品通过FTP与Zenodo实现内容一致的双镜像获取。14类陆面产品与8类ERA5逐时产品在US-NR1形成参数和气象驱动，8个气象字段的8784个时间步与底层NetCDF逐点一致，并完成Emerald初始化和60 s首步计算。</w:t>
      </w:r>
    </w:p>
    <w:p>
      <w:r>
        <w:rPr>
          <w:rFonts w:ascii="Times New Roman" w:hAnsi="Times New Roman" w:eastAsia="宋体"/>
        </w:rPr>
        <w:t>GriddingMachine由此形成面向地球系统模型的轻量数据生产与可信分发基础设施。海温产品生产、双镜像分发以及陆面—气象参数联合组织共同体现框架对全球规则网格数据的贯通能力；ERA5案例进一步贯通真实逐时气象产品的格点读取、时间组织、量纲适配和模型调用，为多区域、多时段产品及长期模型应用提供统一的数据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标准NetCDF产品由中科大机构FTP提供；PPT修订制品以V1_R1物理文件发布，逻辑标签保持V1。独立目录支持在同一逻辑标签下继续登记Zenodo等内容一致的公共镜像。GriddingMachine.jl和GriddingMachineDatasets的论文对应代码固定于</w:t>
      </w:r>
      <w:r>
        <w:rPr>
          <w:rFonts w:ascii="Consolas" w:hAnsi="Consolas" w:eastAsia="等线"/>
        </w:rPr>
        <w:t>paper-release</w:t>
      </w:r>
      <w:r>
        <w:rPr>
          <w:rFonts w:ascii="Times New Roman" w:hAnsi="Times New Roman" w:eastAsia="宋体"/>
        </w:rPr>
        <w:t>分支，各仓库提供版本化依赖与持续集成配置；投稿版本将通过正式发布版本（release）和永久归档保存软件、数据目录、实验结果、环境文件和绘图脚本。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