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统一提供全域网格、周期切片和指定格点读取，并保留</w:t>
            </w:r>
            <w:r>
              <w:rPr>
                <w:rFonts w:ascii="Consolas" w:hAnsi="Consolas" w:eastAsia="Songti SC"/>
                <w:sz w:val="18"/>
              </w:rPr>
              <w:t>read_LUT</w:t>
            </w:r>
            <w:r>
              <w:rPr>
                <w:rFonts w:ascii="Times New Roman" w:hAnsi="Times New Roman" w:eastAsia="Songti SC"/>
                <w:sz w:val="18"/>
              </w:rPr>
              <w:t>作为兼容调用名称</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YAML文件明确记录维度、坐标、数值转换和缺失值填补规则；处理完成后，输出NetCDF文件的属性中同步保存实际执行的变更记录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新登记的条目或纳入严格完整性管理的条目记录文件字节数和SHA-256；同一标签的受控镜像指向相同内容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中科大校内网机构 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流程。共享YAML配置统一描述源数据转换规则，数据目录集中记录标签、镜像和完整性信息，统一读取接口将标准化数据组织为陆面参数和气象驱动；同时，完善Matlab、Octave、Python和R对新版数据的自动下载支持，并新增C和Fortran下载入口，扩展了不同科研编程环境下的数据获取方式。</w:t>
      </w:r>
    </w:p>
    <w:p>
      <w:r>
        <w:rPr>
          <w:rFonts w:ascii="Times New Roman" w:hAnsi="Times New Roman" w:eastAsia="Songti SC"/>
        </w:rPr>
        <w:t>受控实例和真实数据案例表明，新版流程能够保持标准化数据与独立参考的一致性，支持直接NetCDF文件分发和FTP—Zenodo镜像内容核验，并将陆面参数与ERA5逐时数据组织为US-NR1模式输入，完成Emerald初始化和60 s首步计算。这些结果验证了新版GriddingMachine在数据转换、文件获取和模式输入组织之间的衔接能力。</w:t>
      </w:r>
    </w:p>
    <w:p>
      <w:r>
        <w:rPr>
          <w:rFonts w:ascii="Times New Roman" w:hAnsi="Times New Roman" w:eastAsia="Songti SC"/>
        </w:rPr>
        <w:t>更新后的GriddingMachine将多源数据处理、标准文件分发和模式输入组织连接为统一的科研数据流程，减少不同地球系统模式重复整理和维护数据的工作，为全球网格数据的持续维护和模式研究提供数据基础。后续工作将继续扩展数据覆盖范围、完善镜像维护机制，并适配更多模式接口。</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