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b w:val="0"/>
          <w:vertAlign w:val="superscript"/>
        </w:rPr>
        <w:t>1</w:t>
      </w:r>
      <w:r>
        <w:rPr>
          <w:rFonts w:ascii="Times New Roman" w:hAnsi="Times New Roman" w:eastAsia="Songti SC"/>
          <w:b w:val="0"/>
        </w:rPr>
        <w:t>，</w:t>
      </w:r>
      <w:r>
        <w:rPr>
          <w:rFonts w:ascii="Times New Roman" w:hAnsi="Times New Roman" w:eastAsia="Songti SC"/>
          <w:b/>
        </w:rPr>
        <w:t>王玉杰（Yujie Wang）</w:t>
      </w:r>
      <w:r>
        <w:rPr>
          <w:rFonts w:ascii="Times New Roman" w:hAnsi="Times New Roman" w:eastAsia="Songti SC"/>
          <w:b w:val="0"/>
          <w:vertAlign w:val="superscript"/>
        </w:rPr>
        <w:t>1</w:t>
      </w:r>
      <w:r>
        <w:rPr>
          <w:rFonts w:ascii="Times New Roman" w:hAnsi="Times New Roman" w:eastAsia="Songti SC"/>
          <w:b w:val="0"/>
          <w:vertAlign w:val="superscript"/>
        </w:rPr>
        <w:t>*</w:t>
      </w:r>
    </w:p>
    <w:p>
      <w:r>
        <w:rPr>
          <w:rFonts w:ascii="Times New Roman" w:hAnsi="Times New Roman" w:eastAsia="Songti SC"/>
          <w:b w:val="0"/>
        </w:rPr>
        <w:t>1. 中国科学技术大学地球和空间科学学院，安徽 合肥 230026</w:t>
      </w:r>
    </w:p>
    <w:p>
      <w:r>
        <w:rPr>
          <w:rFonts w:ascii="Times New Roman" w:hAnsi="Times New Roman" w:eastAsia="Songti SC"/>
          <w:b w:val="0"/>
        </w:rPr>
        <w:t>姜皓，E-mail：hao.jiang@mail.ustc.edu.cn；ORCID：https://orcid.org/0009-0009-8295-8661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通讯作者：王玉杰，wyujie@ustc.edu.cn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结果表明，标准化数据与独立参考保持一致，直接NetCDF分发降低了访问开销，多源网格数据能够统一组织为模式输入。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w:t>
      </w:r>
      <w:r>
        <w:rPr>
          <w:rFonts w:ascii="Times New Roman" w:hAnsi="Times New Roman" w:eastAsia="Songti SC"/>
          <w:b/>
          <w:vertAlign w:val="superscript"/>
        </w:rPr>
        <w:t>1</w:t>
      </w:r>
      <w:r>
        <w:rPr>
          <w:rFonts w:ascii="Times New Roman" w:hAnsi="Times New Roman" w:eastAsia="Songti SC"/>
          <w:b/>
        </w:rPr>
        <w:t>, Yujie WANG</w:t>
      </w:r>
      <w:r>
        <w:rPr>
          <w:rFonts w:ascii="Times New Roman" w:hAnsi="Times New Roman" w:eastAsia="Songti SC"/>
          <w:b/>
          <w:vertAlign w:val="superscript"/>
        </w:rPr>
        <w:t>1</w:t>
      </w:r>
      <w:r>
        <w:rPr>
          <w:rFonts w:ascii="Times New Roman" w:hAnsi="Times New Roman" w:eastAsia="Songti SC"/>
          <w:b w:val="0"/>
          <w:vertAlign w:val="superscript"/>
        </w:rPr>
        <w:t>*</w:t>
      </w:r>
    </w:p>
    <w:p>
      <w:r>
        <w:rPr>
          <w:rFonts w:ascii="Times New Roman" w:hAnsi="Times New Roman" w:eastAsia="Songti SC"/>
          <w:b w:val="0"/>
        </w:rPr>
        <w:t>1. School of Earth and Space Sciences, University of Science and Technology of China, Hefei 230026, China</w:t>
      </w:r>
    </w:p>
    <w:p>
      <w:r>
        <w:rPr>
          <w:rFonts w:ascii="Times New Roman" w:hAnsi="Times New Roman" w:eastAsia="Songti SC"/>
          <w:b w:val="0"/>
        </w:rPr>
        <w:t>Hao Jiang, E-mail: hao.jiang@mail.ustc.edu.cn; ORCID: 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Corresponding author: Yujie Wang,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The results show that standardized data agree with independent references, direct NetCDF distribution reduces access overhead, and gridded data from multiple sources can be organized into model inputs through a unified workflow.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eusable）的 FAIR 原则[1]。NetCDF适合组织多维科学数据及其坐标信息[2]，CF元数据约定进一步规范变量、坐标和时空属性[3]。Google Earth Engine等云平台通过改善数据表达、发现、访问及计算，提升了大尺度地学数据的访问和分析能力[4]。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b w:val="0"/>
        </w:rPr>
        <w:t>Wang等[5]于2022年发布了基于Julia语言的GriddingMachine数据库和软件，旨在将常用于陆面和地球系统模拟的全球数据处理为具有统一空间和变量约定的NetCDF文件，并通过标签、数据库文件Artifacts.toml和Julia语言的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b w:val="0"/>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b w:val="0"/>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b w:val="0"/>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b w:val="0"/>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b w:val="0"/>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b w:val="0"/>
        </w:rPr>
        <w:t>承担，数据目录与可信分发层及模式输入组织层主要由</w:t>
      </w:r>
      <w:r>
        <w:rPr>
          <w:rFonts w:ascii="Consolas" w:hAnsi="Consolas" w:eastAsia="Songti SC"/>
        </w:rPr>
        <w:t>GriddingMachine.jl</w:t>
      </w:r>
      <w:r>
        <w:rPr>
          <w:rFonts w:ascii="Times New Roman" w:hAnsi="Times New Roman" w:eastAsia="Songti SC"/>
          <w:b w:val="0"/>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b w:val="0"/>
        </w:rPr>
        <w:t xml:space="preserve"> （a）2022版以数据集专用脚本、</w:t>
      </w:r>
      <w:r>
        <w:rPr>
          <w:rFonts w:ascii="Consolas" w:hAnsi="Consolas" w:eastAsia="Songti SC"/>
        </w:rPr>
        <w:t>tar.gz</w:t>
      </w:r>
      <w:r>
        <w:rPr>
          <w:rFonts w:ascii="Times New Roman" w:hAnsi="Times New Roman" w:eastAsia="Songti SC"/>
          <w:b w:val="0"/>
        </w:rPr>
        <w:t>文件、包内数据目录和读取函数</w:t>
      </w:r>
      <w:r>
        <w:rPr>
          <w:rFonts w:ascii="Consolas" w:hAnsi="Consolas" w:eastAsia="Songti SC"/>
        </w:rPr>
        <w:t>read_LUT</w:t>
      </w:r>
      <w:r>
        <w:rPr>
          <w:rFonts w:ascii="Times New Roman" w:hAnsi="Times New Roman" w:eastAsia="Songti SC"/>
          <w:b w:val="0"/>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b w:val="0"/>
        </w:rPr>
        <w:t xml:space="preserve"> (a) The 2022 release connected dataset-specific scripts, </w:t>
      </w:r>
      <w:r>
        <w:rPr>
          <w:rFonts w:ascii="Consolas" w:hAnsi="Consolas" w:eastAsia="Songti SC"/>
        </w:rPr>
        <w:t>tar.gz</w:t>
      </w:r>
      <w:r>
        <w:rPr>
          <w:rFonts w:ascii="Times New Roman" w:hAnsi="Times New Roman" w:eastAsia="Songti SC"/>
          <w:b w:val="0"/>
        </w:rPr>
        <w:t xml:space="preserve"> archive files, an in-package catalog, and </w:t>
      </w:r>
      <w:r>
        <w:rPr>
          <w:rFonts w:ascii="Consolas" w:hAnsi="Consolas" w:eastAsia="Songti SC"/>
        </w:rPr>
        <w:t>read_LUT</w:t>
      </w:r>
      <w:r>
        <w:rPr>
          <w:rFonts w:ascii="Times New Roman" w:hAnsi="Times New Roman" w:eastAsia="Songti SC"/>
          <w:b w:val="0"/>
        </w:rPr>
        <w:t xml:space="preserve"> across data preprocessing, distribution, and access. (b) The updated data workflow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b w:val="0"/>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b w:val="0"/>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b w:val="0"/>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W w:type="auto" w:w="0"/>
        <w:jc w:val="center"/>
        <w:tblLayout w:type="fixed"/>
        <w:tblLook w:firstColumn="1" w:firstRow="1" w:lastColumn="0" w:lastRow="0" w:noHBand="0" w:noVBand="1" w:val="04A0"/>
        <w:tblBorders>
          <w:top w:val="single" w:sz="8" w:color="6B7280"/>
          <w:left w:val="single" w:sz="6" w:color="9CA3AF"/>
          <w:bottom w:val="single" w:sz="8" w:color="6B7280"/>
          <w:right w:val="single" w:sz="6" w:color="9CA3AF"/>
          <w:insideH w:val="single" w:sz="4" w:color="D1D5DB"/>
          <w:insideV w:val="single" w:sz="4" w:color="D1D5DB"/>
        </w:tblBorders>
      </w:tblPr>
      <w:tblGrid>
        <w:gridCol w:w="1417"/>
        <w:gridCol w:w="2324"/>
        <w:gridCol w:w="2665"/>
        <w:gridCol w:w="2438"/>
      </w:tblGrid>
      <w:tr>
        <w:tc>
          <w:tcPr>
            <w:tcW w:type="dxa" w:w="1417"/>
            <w:vAlign w:val="center"/>
            <w:tcMar>
              <w:top w:w="70" w:type="dxa"/>
              <w:start w:w="90" w:type="dxa"/>
              <w:bottom w:w="70" w:type="dxa"/>
              <w:end w:w="90" w:type="dxa"/>
            </w:tcMar>
            <w:shd w:fill="D9EAF7"/>
          </w:tcPr>
          <w:p>
            <w:pPr>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shd w:fill="D9EAF7"/>
          </w:tcPr>
          <w:p>
            <w:pPr>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shd w:fill="D9EAF7"/>
          </w:tcPr>
          <w:p>
            <w:pPr>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shd w:fill="D9EAF7"/>
          </w:tcPr>
          <w:p>
            <w:pPr>
              <w:spacing w:before="0" w:after="0" w:line="240" w:lineRule="auto"/>
              <w:ind w:firstLine="0" w:left="0" w:right="0"/>
              <w:jc w:val="center"/>
            </w:pPr>
            <w:r>
              <w:rPr>
                <w:b/>
                <w:sz w:val="18"/>
              </w:rPr>
            </w:r>
            <w:r>
              <w:rPr>
                <w:rFonts w:ascii="Times New Roman" w:hAnsi="Times New Roman" w:eastAsia="Songti SC"/>
                <w:b/>
                <w:sz w:val="18"/>
              </w:rPr>
              <w:t>对科研流程的作用</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软件内置</w:t>
            </w:r>
            <w:r>
              <w:rPr>
                <w:rFonts w:ascii="Consolas" w:hAnsi="Consolas" w:eastAsia="Songti SC"/>
                <w:sz w:val="18"/>
              </w:rPr>
              <w:t>Artifacts.toml</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构建产物哈希寻址、多个 URL 和解包</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多镜像回退、临时文件下载和完整性校验</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提高数据获取的可靠性和可追溯性</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读取已登记数据</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统一提供全域网格、周期切片和指定格点读取，并保留</w:t>
            </w:r>
            <w:r>
              <w:rPr>
                <w:rFonts w:ascii="Consolas" w:hAnsi="Consolas" w:eastAsia="Songti SC"/>
                <w:sz w:val="18"/>
              </w:rPr>
              <w:t>read_LUT</w:t>
            </w:r>
            <w:r>
              <w:rPr>
                <w:rFonts w:ascii="Times New Roman" w:hAnsi="Times New Roman" w:eastAsia="Songti SC"/>
                <w:b w:val="0"/>
                <w:sz w:val="18"/>
              </w:rPr>
              <w:t>作为兼容调用名称</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统一数据发现、读取和模式输入组织，降低旧接口迁移成本</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在保留原有接口的基础上完善Matlab、Octave、Python和R自动下载，并新增C和Fortran自动下载入口</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扩展科研人员获取新版网格数据的编程环境</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数据契约与维度映射</w:t>
      </w:r>
    </w:p>
    <w:p>
      <w:r>
        <w:rPr>
          <w:rFonts w:ascii="Times New Roman" w:hAnsi="Times New Roman" w:eastAsia="Songti SC"/>
          <w:b w:val="0"/>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W w:type="auto" w:w="0"/>
        <w:jc w:val="center"/>
        <w:tblLayout w:type="fixed"/>
        <w:tblLook w:firstColumn="1" w:firstRow="1" w:lastColumn="0" w:lastRow="0" w:noHBand="0" w:noVBand="1" w:val="04A0"/>
        <w:tblBorders>
          <w:top w:val="single" w:sz="8" w:color="6B7280"/>
          <w:left w:val="single" w:sz="6" w:color="9CA3AF"/>
          <w:bottom w:val="single" w:sz="8" w:color="6B7280"/>
          <w:right w:val="single" w:sz="6" w:color="9CA3AF"/>
          <w:insideH w:val="single" w:sz="4" w:color="D1D5DB"/>
          <w:insideV w:val="single" w:sz="4" w:color="D1D5DB"/>
        </w:tblBorders>
      </w:tblPr>
      <w:tblGrid>
        <w:gridCol w:w="1928"/>
        <w:gridCol w:w="3969"/>
        <w:gridCol w:w="2948"/>
      </w:tblGrid>
      <w:tr>
        <w:tc>
          <w:tcPr>
            <w:tcW w:type="dxa" w:w="1928"/>
            <w:vAlign w:val="center"/>
            <w:tcMar>
              <w:top w:w="70" w:type="dxa"/>
              <w:start w:w="90" w:type="dxa"/>
              <w:bottom w:w="70" w:type="dxa"/>
              <w:end w:w="90" w:type="dxa"/>
            </w:tcMar>
            <w:shd w:fill="D9EAF7"/>
          </w:tcPr>
          <w:p>
            <w:pPr>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shd w:fill="D9EAF7"/>
          </w:tcPr>
          <w:p>
            <w:pPr>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shd w:fill="D9EAF7"/>
          </w:tcPr>
          <w:p>
            <w:pPr>
              <w:spacing w:before="0" w:after="0" w:line="240" w:lineRule="auto"/>
              <w:ind w:firstLine="0" w:left="0" w:right="0"/>
              <w:jc w:val="center"/>
            </w:pPr>
            <w:r>
              <w:rPr>
                <w:b/>
                <w:sz w:val="18"/>
              </w:rPr>
            </w:r>
            <w:r>
              <w:rPr>
                <w:rFonts w:ascii="Times New Roman" w:hAnsi="Times New Roman" w:eastAsia="Songti SC"/>
                <w:b/>
                <w:sz w:val="18"/>
              </w:rPr>
              <w:t>实现方式</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配置意图与数据集处理历史相互对应</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配置、输入与代码版本共同重建标准化数据</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新登记的条目或纳入严格完整性管理的条目记录文件字节数和SHA-256；同一标签的受控镜像指向相同内容</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production contract.</w:t>
      </w:r>
    </w:p>
    <w:p>
      <w:r>
        <w:rPr>
          <w:rFonts w:ascii="Times New Roman" w:hAnsi="Times New Roman" w:eastAsia="Songti SC"/>
          <w:b w:val="0"/>
        </w:rPr>
        <w:t>缺失值填补由YAML中的</w:t>
      </w:r>
      <w:r>
        <w:rPr>
          <w:rFonts w:ascii="Consolas" w:hAnsi="Consolas" w:eastAsia="Songti SC"/>
        </w:rPr>
        <w:t>GAPFILL</w:t>
      </w:r>
      <w:r>
        <w:rPr>
          <w:rFonts w:ascii="Times New Roman" w:hAnsi="Times New Roman" w:eastAsia="Songti SC"/>
          <w:b w:val="0"/>
        </w:rPr>
        <w:t>字段驱动，并依据数据集物理含义选择相应策略。数值常数和</w:t>
      </w:r>
      <w:r>
        <w:rPr>
          <w:rFonts w:ascii="Consolas" w:hAnsi="Consolas" w:eastAsia="Songti SC"/>
        </w:rPr>
        <w:t>MEAN</w:t>
      </w:r>
      <w:r>
        <w:rPr>
          <w:rFonts w:ascii="Times New Roman" w:hAnsi="Times New Roman" w:eastAsia="Songti SC"/>
          <w:b w:val="0"/>
        </w:rPr>
        <w:t>分别以给定值或分层</w:t>
      </w:r>
      <w:r>
        <w:rPr>
          <w:rFonts w:ascii="Consolas" w:hAnsi="Consolas" w:eastAsia="Songti SC"/>
        </w:rPr>
        <w:t>nanmean</w:t>
      </w:r>
      <w:r>
        <w:rPr>
          <w:rFonts w:ascii="Times New Roman" w:hAnsi="Times New Roman" w:eastAsia="Songti SC"/>
          <w:b w:val="0"/>
        </w:rPr>
        <w:t>填补陆地区域缺失值；</w:t>
      </w:r>
      <w:r>
        <w:rPr>
          <w:rFonts w:ascii="Consolas" w:hAnsi="Consolas" w:eastAsia="Songti SC"/>
        </w:rPr>
        <w:t>KEEP_AS_IS</w:t>
      </w:r>
      <w:r>
        <w:rPr>
          <w:rFonts w:ascii="Times New Roman" w:hAnsi="Times New Roman" w:eastAsia="Songti SC"/>
          <w:b w:val="0"/>
        </w:rPr>
        <w:t>保持原始数组；</w:t>
      </w:r>
      <w:r>
        <w:rPr>
          <w:rFonts w:ascii="Consolas" w:hAnsi="Consolas" w:eastAsia="Songti SC"/>
        </w:rPr>
        <w:t>INT_NAN_TO_1</w:t>
      </w:r>
      <w:r>
        <w:rPr>
          <w:rFonts w:ascii="Times New Roman" w:hAnsi="Times New Roman" w:eastAsia="Songti SC"/>
          <w:b w:val="0"/>
        </w:rPr>
        <w:t>将缺失值补为1并对数组整数化；</w:t>
      </w:r>
      <w:r>
        <w:rPr>
          <w:rFonts w:ascii="Consolas" w:hAnsi="Consolas" w:eastAsia="Songti SC"/>
        </w:rPr>
        <w:t>NO_LAND_NAN</w:t>
      </w:r>
      <w:r>
        <w:rPr>
          <w:rFonts w:ascii="Times New Roman" w:hAnsi="Times New Roman" w:eastAsia="Songti SC"/>
          <w:b w:val="0"/>
        </w:rPr>
        <w:t>和</w:t>
      </w:r>
      <w:r>
        <w:rPr>
          <w:rFonts w:ascii="Consolas" w:hAnsi="Consolas" w:eastAsia="Songti SC"/>
        </w:rPr>
        <w:t>NO_NAN</w:t>
      </w:r>
      <w:r>
        <w:rPr>
          <w:rFonts w:ascii="Times New Roman" w:hAnsi="Times New Roman" w:eastAsia="Songti SC"/>
          <w:b w:val="0"/>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b w:val="0"/>
        </w:rPr>
        <w:t>、</w:t>
      </w:r>
      <w:r>
        <w:rPr>
          <w:rFonts w:ascii="Consolas" w:hAnsi="Consolas" w:eastAsia="Songti SC"/>
        </w:rPr>
        <w:t>FOLDER</w:t>
      </w:r>
      <w:r>
        <w:rPr>
          <w:rFonts w:ascii="Times New Roman" w:hAnsi="Times New Roman" w:eastAsia="Songti SC"/>
          <w:b w:val="0"/>
        </w:rPr>
        <w:t>、</w:t>
      </w:r>
      <w:r>
        <w:rPr>
          <w:rFonts w:ascii="Consolas" w:hAnsi="Consolas" w:eastAsia="Songti SC"/>
        </w:rPr>
        <w:t>DATA</w:t>
      </w:r>
      <w:r>
        <w:rPr>
          <w:rFonts w:ascii="Times New Roman" w:hAnsi="Times New Roman" w:eastAsia="Songti SC"/>
          <w:b w:val="0"/>
        </w:rPr>
        <w:t>（及可选</w:t>
      </w:r>
      <w:r>
        <w:rPr>
          <w:rFonts w:ascii="Consolas" w:hAnsi="Consolas" w:eastAsia="Songti SC"/>
        </w:rPr>
        <w:t>STD</w:t>
      </w:r>
      <w:r>
        <w:rPr>
          <w:rFonts w:ascii="Times New Roman" w:hAnsi="Times New Roman" w:eastAsia="Songti SC"/>
          <w:b w:val="0"/>
        </w:rPr>
        <w:t>）和</w:t>
      </w:r>
      <w:r>
        <w:rPr>
          <w:rFonts w:ascii="Consolas" w:hAnsi="Consolas" w:eastAsia="Songti SC"/>
        </w:rPr>
        <w:t>GRIDDINGMACHINE</w:t>
      </w:r>
      <w:r>
        <w:rPr>
          <w:rFonts w:ascii="Times New Roman" w:hAnsi="Times New Roman" w:eastAsia="Songti SC"/>
          <w:b w:val="0"/>
        </w:rPr>
        <w:t>组织文件组合、输入输出位置、变量语义与转换规则以及稳定标签，并通过</w:t>
      </w:r>
      <w:r>
        <w:rPr>
          <w:rFonts w:ascii="Consolas" w:hAnsi="Consolas" w:eastAsia="Songti SC"/>
        </w:rPr>
        <w:t>SCHEMA_VERSION</w:t>
      </w:r>
      <w:r>
        <w:rPr>
          <w:rFonts w:ascii="Times New Roman" w:hAnsi="Times New Roman" w:eastAsia="Songti SC"/>
          <w:b w:val="0"/>
        </w:rPr>
        <w:t>约束字段类型、必需项、默认值、互斥关系和数组长度一致性。</w:t>
      </w:r>
      <w:r>
        <w:rPr>
          <w:rFonts w:ascii="Consolas" w:hAnsi="Consolas" w:eastAsia="Songti SC"/>
        </w:rPr>
        <w:t>DIMENSIONS</w:t>
      </w:r>
      <w:r>
        <w:rPr>
          <w:rFonts w:ascii="Times New Roman" w:hAnsi="Times New Roman" w:eastAsia="Songti SC"/>
          <w:b w:val="0"/>
        </w:rPr>
        <w:t>显式记录源变量的维度语义，</w:t>
      </w:r>
      <w:r>
        <w:rPr>
          <w:rFonts w:ascii="Consolas" w:hAnsi="Consolas" w:eastAsia="Songti SC"/>
        </w:rPr>
        <w:t>GAPFILL</w:t>
      </w:r>
      <w:r>
        <w:rPr>
          <w:rFonts w:ascii="Times New Roman" w:hAnsi="Times New Roman" w:eastAsia="Songti SC"/>
          <w:b w:val="0"/>
        </w:rPr>
        <w:t>、坐标方向、数值范围和缩放规则在数据读取前完成解析；配置构建器与生产流水线调用同一规范。</w:t>
      </w:r>
    </w:p>
    <w:p>
      <w:r>
        <w:rPr>
          <w:rFonts w:ascii="Times New Roman" w:hAnsi="Times New Roman" w:eastAsia="Songti SC"/>
          <w:b w:val="0"/>
        </w:rPr>
        <w:t>受控二维示例采用</w:t>
      </w:r>
      <w:r>
        <w:rPr>
          <w:rFonts w:ascii="Consolas" w:hAnsi="Consolas" w:eastAsia="Songti SC"/>
        </w:rPr>
        <w:t>(lat, lon)</w:t>
      </w:r>
      <w:r>
        <w:rPr>
          <w:rFonts w:ascii="Times New Roman" w:hAnsi="Times New Roman" w:eastAsia="Songti SC"/>
          <w:b w:val="0"/>
        </w:rPr>
        <w:t>源维度排列，纬度按北向南排列，经度范围为</w:t>
      </w:r>
      <w:r>
        <w:rPr>
          <w:rFonts w:ascii="Consolas" w:hAnsi="Consolas" w:eastAsia="Songti SC"/>
        </w:rPr>
        <w:t>0°～360°</w:t>
      </w:r>
      <w:r>
        <w:rPr>
          <w:rFonts w:ascii="Times New Roman" w:hAnsi="Times New Roman" w:eastAsia="Songti SC"/>
          <w:b w:val="0"/>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b w:val="0"/>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b w:val="0"/>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b w:val="0"/>
        </w:rPr>
        <w:t>执行标准化处理，使数据贡献入口与生产流水线共享一致的字段语义。</w:t>
      </w:r>
    </w:p>
    <w:p>
      <w:pPr>
        <w:pStyle w:val="Heading3"/>
      </w:pPr>
      <w:r>
        <w:rPr>
          <w:rFonts w:ascii="Times New Roman" w:hAnsi="Times New Roman" w:eastAsia="Songti SC"/>
          <w:b w:val="0"/>
        </w:rPr>
        <w:t>2.2.3 生产流程与质量控制</w:t>
      </w:r>
    </w:p>
    <w:p>
      <w:r>
        <w:rPr>
          <w:rFonts w:ascii="Times New Roman" w:hAnsi="Times New Roman" w:eastAsia="Songti SC"/>
          <w:b w:val="0"/>
        </w:rPr>
        <w:t>标准化数据生产引擎首先根据</w:t>
      </w:r>
      <w:r>
        <w:rPr>
          <w:rFonts w:ascii="Consolas" w:hAnsi="Consolas" w:eastAsia="Songti SC"/>
        </w:rPr>
        <w:t>FILE</w:t>
      </w:r>
      <w:r>
        <w:rPr>
          <w:rFonts w:ascii="Times New Roman" w:hAnsi="Times New Roman" w:eastAsia="Songti SC"/>
          <w:b w:val="0"/>
        </w:rPr>
        <w:t>和</w:t>
      </w:r>
      <w:r>
        <w:rPr>
          <w:rFonts w:ascii="Consolas" w:hAnsi="Consolas" w:eastAsia="Songti SC"/>
        </w:rPr>
        <w:t>FOLDER</w:t>
      </w:r>
      <w:r>
        <w:rPr>
          <w:rFonts w:ascii="Times New Roman" w:hAnsi="Times New Roman" w:eastAsia="Songti SC"/>
          <w:b w:val="0"/>
        </w:rPr>
        <w:t>定位输入与输出文件，再读取</w:t>
      </w:r>
      <w:r>
        <w:rPr>
          <w:rFonts w:ascii="Consolas" w:hAnsi="Consolas" w:eastAsia="Songti SC"/>
        </w:rPr>
        <w:t>DATA</w:t>
      </w:r>
      <w:r>
        <w:rPr>
          <w:rFonts w:ascii="Times New Roman" w:hAnsi="Times New Roman" w:eastAsia="Songti SC"/>
          <w:b w:val="0"/>
        </w:rPr>
        <w:t>和可选</w:t>
      </w:r>
      <w:r>
        <w:rPr>
          <w:rFonts w:ascii="Consolas" w:hAnsi="Consolas" w:eastAsia="Songti SC"/>
        </w:rPr>
        <w:t>STD</w:t>
      </w:r>
      <w:r>
        <w:rPr>
          <w:rFonts w:ascii="Times New Roman" w:hAnsi="Times New Roman" w:eastAsia="Songti SC"/>
          <w:b w:val="0"/>
        </w:rPr>
        <w:t>指定的源变量。流水线将数据转换为</w:t>
      </w:r>
      <w:r>
        <w:rPr>
          <w:rFonts w:ascii="Consolas" w:hAnsi="Consolas" w:eastAsia="Songti SC"/>
        </w:rPr>
        <w:t>Float32</w:t>
      </w:r>
      <w:r>
        <w:rPr>
          <w:rFonts w:ascii="Times New Roman" w:hAnsi="Times New Roman" w:eastAsia="Songti SC"/>
          <w:b w:val="0"/>
        </w:rPr>
        <w:t>，依次执行纬度翻转、经度翻转或从</w:t>
      </w:r>
      <w:r>
        <w:rPr>
          <w:rFonts w:ascii="Consolas" w:hAnsi="Consolas" w:eastAsia="Songti SC"/>
        </w:rPr>
        <w:t>0°～360°</w:t>
      </w:r>
      <w:r>
        <w:rPr>
          <w:rFonts w:ascii="Times New Roman" w:hAnsi="Times New Roman" w:eastAsia="Songti SC"/>
          <w:b w:val="0"/>
        </w:rPr>
        <w:t>到</w:t>
      </w:r>
      <w:r>
        <w:rPr>
          <w:rFonts w:ascii="Consolas" w:hAnsi="Consolas" w:eastAsia="Songti SC"/>
        </w:rPr>
        <w:t>−180°～180°</w:t>
      </w:r>
      <w:r>
        <w:rPr>
          <w:rFonts w:ascii="Times New Roman" w:hAnsi="Times New Roman" w:eastAsia="Songti SC"/>
          <w:b w:val="0"/>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b w:val="0"/>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b w:val="0"/>
        </w:rPr>
        <w:t>，存在不确定性时追加同形的</w:t>
      </w:r>
      <w:r>
        <w:rPr>
          <w:rFonts w:ascii="Consolas" w:hAnsi="Consolas" w:eastAsia="Songti SC"/>
        </w:rPr>
        <w:t>std</w:t>
      </w:r>
      <w:r>
        <w:rPr>
          <w:rFonts w:ascii="Times New Roman" w:hAnsi="Times New Roman" w:eastAsia="Songti SC"/>
          <w:b w:val="0"/>
        </w:rPr>
        <w:t>，并按</w:t>
      </w:r>
      <w:r>
        <w:rPr>
          <w:rFonts w:ascii="Consolas" w:hAnsi="Consolas" w:eastAsia="Songti SC"/>
        </w:rPr>
        <w:t>TAG_(PREFIX_)NX_MT_(YYYY_)VV(_REVISION)</w:t>
      </w:r>
      <w:r>
        <w:rPr>
          <w:rFonts w:ascii="Times New Roman" w:hAnsi="Times New Roman" w:eastAsia="Songti SC"/>
          <w:b w:val="0"/>
        </w:rPr>
        <w:t>生成唯一文件名。文件级变更记录与发布级配置、输入和软件环境共同构成双层复现链，连接数据集内容与其生成上下文。</w:t>
      </w:r>
    </w:p>
    <w:p>
      <w:r>
        <w:rPr>
          <w:rFonts w:ascii="Times New Roman" w:hAnsi="Times New Roman" w:eastAsia="Songti SC"/>
          <w:b w:val="0"/>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b w:val="0"/>
        </w:rPr>
        <w:t>用于记录同一配置组合的首次方向确认。输出数据质量检查进一步核对</w:t>
      </w:r>
      <w:r>
        <w:rPr>
          <w:rFonts w:ascii="Consolas" w:hAnsi="Consolas" w:eastAsia="Songti SC"/>
        </w:rPr>
        <w:t>lon</w:t>
      </w:r>
      <w:r>
        <w:rPr>
          <w:rFonts w:ascii="Times New Roman" w:hAnsi="Times New Roman" w:eastAsia="Songti SC"/>
          <w:b w:val="0"/>
        </w:rPr>
        <w:t>、</w:t>
      </w:r>
      <w:r>
        <w:rPr>
          <w:rFonts w:ascii="Consolas" w:hAnsi="Consolas" w:eastAsia="Songti SC"/>
        </w:rPr>
        <w:t>lat</w:t>
      </w:r>
      <w:r>
        <w:rPr>
          <w:rFonts w:ascii="Times New Roman" w:hAnsi="Times New Roman" w:eastAsia="Songti SC"/>
          <w:b w:val="0"/>
        </w:rPr>
        <w:t>及可选</w:t>
      </w:r>
      <w:r>
        <w:rPr>
          <w:rFonts w:ascii="Consolas" w:hAnsi="Consolas" w:eastAsia="Songti SC"/>
        </w:rPr>
        <w:t>ind</w:t>
      </w:r>
      <w:r>
        <w:rPr>
          <w:rFonts w:ascii="Times New Roman" w:hAnsi="Times New Roman" w:eastAsia="Songti SC"/>
          <w:b w:val="0"/>
        </w:rPr>
        <w:t>维度、主变量</w:t>
      </w:r>
      <w:r>
        <w:rPr>
          <w:rFonts w:ascii="Consolas" w:hAnsi="Consolas" w:eastAsia="Songti SC"/>
        </w:rPr>
        <w:t>data</w:t>
      </w:r>
      <w:r>
        <w:rPr>
          <w:rFonts w:ascii="Times New Roman" w:hAnsi="Times New Roman" w:eastAsia="Songti SC"/>
          <w:b w:val="0"/>
        </w:rPr>
        <w:t>、数值范围和缺失值状态。对于标准支持分辨率，陆地区域完整性通过重采样</w:t>
      </w:r>
      <w:r>
        <w:rPr>
          <w:rFonts w:ascii="Consolas" w:hAnsi="Consolas" w:eastAsia="Songti SC"/>
        </w:rPr>
        <w:t>LM_4X_1Y_V1</w:t>
      </w:r>
      <w:r>
        <w:rPr>
          <w:rFonts w:ascii="Times New Roman" w:hAnsi="Times New Roman" w:eastAsia="Songti SC"/>
          <w:b w:val="0"/>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b w:val="0"/>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b w:val="0"/>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b w:val="0"/>
        </w:rPr>
        <w:t>、一个或多个</w:t>
      </w:r>
      <w:r>
        <w:rPr>
          <w:rFonts w:ascii="Consolas" w:hAnsi="Consolas" w:eastAsia="Songti SC"/>
        </w:rPr>
        <w:t>URL</w:t>
      </w:r>
      <w:r>
        <w:rPr>
          <w:rFonts w:ascii="Times New Roman" w:hAnsi="Times New Roman" w:eastAsia="Songti SC"/>
          <w:b w:val="0"/>
        </w:rPr>
        <w:t>以及可选的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b w:val="0"/>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b w:val="0"/>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b w:val="0"/>
        </w:rPr>
        <w:t>，也可读取原始数值或同形不确定性变量</w:t>
      </w:r>
      <w:r>
        <w:rPr>
          <w:rFonts w:ascii="Consolas" w:hAnsi="Consolas" w:eastAsia="Songti SC"/>
        </w:rPr>
        <w:t>std</w:t>
      </w:r>
      <w:r>
        <w:rPr>
          <w:rFonts w:ascii="Times New Roman" w:hAnsi="Times New Roman" w:eastAsia="Songti SC"/>
          <w:b w:val="0"/>
        </w:rPr>
        <w:t>。模式输入组织层直接继承数据生产与标准化层统一的单位、缺失值和物理范围，使处理规则集中于共享生产契约，并兼容既有读取方式。</w:t>
      </w:r>
    </w:p>
    <w:p>
      <w:r>
        <w:rPr>
          <w:rFonts w:ascii="Times New Roman" w:hAnsi="Times New Roman" w:eastAsia="Songti SC"/>
          <w:b w:val="0"/>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b w:val="0"/>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b w:val="0"/>
        </w:rPr>
        <w:t>由14类标准化数据组成，其中冠层聚集度采用月尺度数据集，其余字段按各自空间与时间分辨率进入统一格点。</w:t>
      </w:r>
    </w:p>
    <w:p>
      <w:r>
        <w:rPr>
          <w:rFonts w:ascii="Times New Roman" w:hAnsi="Times New Roman" w:eastAsia="Songti SC"/>
          <w:b w:val="0"/>
        </w:rPr>
        <w:t xml:space="preserve">植物功能型比例用于融合 C3 和 C4 植物的叶片光学参数与 Medlyn 气孔导度模型参数[6,7]。光合参数组织参考叶片羧化能力与电子传递能力的协调关系[8]，并按当前模式参数化关系由 25 ℃下最大羧化速率 </w:t>
      </w:r>
      <w:r>
        <w:rPr>
          <w:rFonts w:ascii="Consolas" w:hAnsi="Consolas" w:eastAsia="Songti SC"/>
        </w:rPr>
        <w:t>VCMAX25</w:t>
      </w:r>
      <w:r>
        <w:rPr>
          <w:rFonts w:ascii="Times New Roman" w:hAnsi="Times New Roman" w:eastAsia="Songti SC"/>
          <w:b w:val="0"/>
        </w:rPr>
        <w:t xml:space="preserve"> 计算最大电子传递速率 </w:t>
      </w:r>
      <w:r>
        <w:rPr>
          <w:rFonts w:ascii="Consolas" w:hAnsi="Consolas" w:eastAsia="Songti SC"/>
        </w:rPr>
        <w:t>JMAX25</w:t>
      </w:r>
      <w:r>
        <w:rPr>
          <w:rFonts w:ascii="Times New Roman" w:hAnsi="Times New Roman" w:eastAsia="Songti SC"/>
          <w:b w:val="0"/>
        </w:rPr>
        <w:t xml:space="preserve"> 和细胞色素 b6f 复合体参数 </w:t>
      </w:r>
      <w:r>
        <w:rPr>
          <w:rFonts w:ascii="Consolas" w:hAnsi="Consolas" w:eastAsia="Songti SC"/>
        </w:rPr>
        <w:t>B6F</w:t>
      </w:r>
      <w:r>
        <w:rPr>
          <w:rFonts w:ascii="Times New Roman" w:hAnsi="Times New Roman" w:eastAsia="Songti SC"/>
          <w:b w:val="0"/>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b w:val="0"/>
        </w:rPr>
        <w:t xml:space="preserve"> 状态同步进入质量控制。多个标准化数据由此形成结构一致的格点级模式输入。</w:t>
      </w:r>
    </w:p>
    <w:p>
      <w:r>
        <w:rPr>
          <w:rFonts w:ascii="Times New Roman" w:hAnsi="Times New Roman" w:eastAsia="Songti SC"/>
          <w:b w:val="0"/>
        </w:rPr>
        <w:t>格点尺度气象驱动接口按年份和格点读取气象驱动集合</w:t>
      </w:r>
      <w:r>
        <w:rPr>
          <w:rFonts w:ascii="Consolas" w:hAnsi="Consolas" w:eastAsia="Songti SC"/>
        </w:rPr>
        <w:t>wd1</w:t>
      </w:r>
      <w:r>
        <w:rPr>
          <w:rFonts w:ascii="Times New Roman" w:hAnsi="Times New Roman" w:eastAsia="Songti SC"/>
          <w:b w:val="0"/>
        </w:rPr>
        <w:t>中的8类第五代全球再分析数据（ERA5）[9]，分别提取地表气压、降水、漫射与直射短波辐射、长波辐射、气温、水汽压亏缺和风速，并依据格点经度换算时区偏移、构建浮点年积日（fractional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b w:val="0"/>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b w:val="0"/>
        </w:rPr>
        <w:t>状态同步进入质量控制。</w:t>
      </w:r>
    </w:p>
    <w:p>
      <w:r>
        <w:rPr>
          <w:rFonts w:ascii="Times New Roman" w:hAnsi="Times New Roman" w:eastAsia="Songti SC"/>
          <w:b w:val="0"/>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[5]，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C和Fortran入口已完成编译与下载测试，下载文件通过字节数和SHA-256完整性校验。</w:t>
      </w:r>
    </w:p>
    <w:p>
      <w:r>
        <w:rPr>
          <w:rFonts w:ascii="Times New Roman" w:hAnsi="Times New Roman" w:eastAsia="Songti SC"/>
          <w:b w:val="0"/>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b w:val="0"/>
        </w:rPr>
        <w:t>目录提供。</w:t>
      </w:r>
    </w:p>
    <w:p>
      <w:pPr>
        <w:pStyle w:val="Heading1"/>
      </w:pPr>
      <w:r>
        <w:rPr>
          <w:rFonts w:ascii="Times New Roman" w:hAnsi="Times New Roman" w:eastAsia="Songti SC"/>
          <w:b w:val="0"/>
        </w:rPr>
        <w:t>3 应用案例与评价方法</w:t>
      </w:r>
    </w:p>
    <w:p>
      <w:r>
        <w:rPr>
          <w:rFonts w:ascii="Times New Roman" w:hAnsi="Times New Roman" w:eastAsia="Songti SC"/>
          <w:b w:val="0"/>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W w:type="auto" w:w="0"/>
        <w:jc w:val="center"/>
        <w:tblLayout w:type="fixed"/>
        <w:tblLook w:firstColumn="1" w:firstRow="1" w:lastColumn="0" w:lastRow="0" w:noHBand="0" w:noVBand="1" w:val="04A0"/>
        <w:tblBorders>
          <w:top w:val="single" w:sz="8" w:color="6B7280"/>
          <w:left w:val="single" w:sz="6" w:color="9CA3AF"/>
          <w:bottom w:val="single" w:sz="8" w:color="6B7280"/>
          <w:right w:val="single" w:sz="6" w:color="9CA3AF"/>
          <w:insideH w:val="single" w:sz="4" w:color="D1D5DB"/>
          <w:insideV w:val="single" w:sz="4" w:color="D1D5DB"/>
        </w:tblBorders>
      </w:tblPr>
      <w:tblGrid>
        <w:gridCol w:w="2268"/>
        <w:gridCol w:w="2381"/>
        <w:gridCol w:w="2438"/>
        <w:gridCol w:w="1757"/>
      </w:tblGrid>
      <w:tr>
        <w:tc>
          <w:tcPr>
            <w:tcW w:type="dxa" w:w="2268"/>
            <w:vAlign w:val="center"/>
            <w:tcMar>
              <w:top w:w="70" w:type="dxa"/>
              <w:start w:w="90" w:type="dxa"/>
              <w:bottom w:w="70" w:type="dxa"/>
              <w:end w:w="90" w:type="dxa"/>
            </w:tcMar>
            <w:shd w:fill="D9EAF7"/>
          </w:tcPr>
          <w:p>
            <w:pPr>
              <w:spacing w:before="0" w:after="0" w:line="240" w:lineRule="auto"/>
              <w:ind w:firstLine="0" w:left="0" w:right="0"/>
              <w:jc w:val="center"/>
            </w:pPr>
            <w:r>
              <w:rPr>
                <w:b/>
                <w:sz w:val="18"/>
              </w:rPr>
            </w:r>
            <w:r>
              <w:rPr>
                <w:rFonts w:ascii="Times New Roman" w:hAnsi="Times New Roman" w:eastAsia="Songti SC"/>
                <w:b/>
                <w:sz w:val="18"/>
              </w:rPr>
              <w:t>核心贡献</w:t>
            </w:r>
          </w:p>
        </w:tc>
        <w:tc>
          <w:tcPr>
            <w:tcW w:type="dxa" w:w="2381"/>
            <w:vAlign w:val="center"/>
            <w:tcMar>
              <w:top w:w="70" w:type="dxa"/>
              <w:start w:w="90" w:type="dxa"/>
              <w:bottom w:w="70" w:type="dxa"/>
              <w:end w:w="90" w:type="dxa"/>
            </w:tcMar>
            <w:shd w:fill="D9EAF7"/>
          </w:tcPr>
          <w:p>
            <w:pPr>
              <w:spacing w:before="0" w:after="0" w:line="240" w:lineRule="auto"/>
              <w:ind w:firstLine="0" w:left="0" w:right="0"/>
              <w:jc w:val="center"/>
            </w:pPr>
            <w:r>
              <w:rPr>
                <w:b/>
                <w:sz w:val="18"/>
              </w:rPr>
            </w:r>
            <w:r>
              <w:rPr>
                <w:rFonts w:ascii="Times New Roman" w:hAnsi="Times New Roman" w:eastAsia="Songti SC"/>
                <w:b/>
                <w:sz w:val="18"/>
              </w:rPr>
              <w:t>受控或确定性证据</w:t>
            </w:r>
          </w:p>
        </w:tc>
        <w:tc>
          <w:tcPr>
            <w:tcW w:type="dxa" w:w="2438"/>
            <w:vAlign w:val="center"/>
            <w:tcMar>
              <w:top w:w="70" w:type="dxa"/>
              <w:start w:w="90" w:type="dxa"/>
              <w:bottom w:w="70" w:type="dxa"/>
              <w:end w:w="90" w:type="dxa"/>
            </w:tcMar>
            <w:shd w:fill="D9EAF7"/>
          </w:tcPr>
          <w:p>
            <w:pPr>
              <w:spacing w:before="0" w:after="0" w:line="240" w:lineRule="auto"/>
              <w:ind w:firstLine="0" w:left="0" w:right="0"/>
              <w:jc w:val="center"/>
            </w:pPr>
            <w:r>
              <w:rPr>
                <w:b/>
                <w:sz w:val="18"/>
              </w:rPr>
            </w:r>
            <w:r>
              <w:rPr>
                <w:rFonts w:ascii="Times New Roman" w:hAnsi="Times New Roman" w:eastAsia="Songti SC"/>
                <w:b/>
                <w:sz w:val="18"/>
              </w:rPr>
              <w:t>真实数据/网络应用</w:t>
            </w:r>
          </w:p>
        </w:tc>
        <w:tc>
          <w:tcPr>
            <w:tcW w:type="dxa" w:w="1757"/>
            <w:vAlign w:val="center"/>
            <w:tcMar>
              <w:top w:w="70" w:type="dxa"/>
              <w:start w:w="90" w:type="dxa"/>
              <w:bottom w:w="70" w:type="dxa"/>
              <w:end w:w="90" w:type="dxa"/>
            </w:tcMar>
            <w:shd w:fill="D9EAF7"/>
          </w:tcPr>
          <w:p>
            <w:pPr>
              <w:spacing w:before="0" w:after="0" w:line="240" w:lineRule="auto"/>
              <w:ind w:firstLine="0" w:left="0" w:right="0"/>
              <w:jc w:val="center"/>
            </w:pPr>
            <w:r>
              <w:rPr>
                <w:b/>
                <w:sz w:val="18"/>
              </w:rPr>
            </w:r>
            <w:r>
              <w:rPr>
                <w:rFonts w:ascii="Times New Roman" w:hAnsi="Times New Roman" w:eastAsia="Songti SC"/>
                <w:b/>
                <w:sz w:val="18"/>
              </w:rPr>
              <w:t>主要评价指标</w:t>
            </w:r>
          </w:p>
        </w:tc>
      </w:tr>
      <w:t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核心实现具有跨操作系统运行一致性</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Windows、macOS、Linux持续集成</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Windows/macOS独立性能观测及按实际环境记录的真实网络案例</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b w:val="0"/>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共享生产契约与质量控制</w:t>
      </w:r>
    </w:p>
    <w:p>
      <w:r>
        <w:rPr>
          <w:rFonts w:ascii="Times New Roman" w:hAnsi="Times New Roman" w:eastAsia="Songti SC"/>
          <w:b w:val="0"/>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b w:val="0"/>
        </w:rPr>
        <w:t>代表性处理实例包括</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源排列、纬度和经度翻转、</w:t>
      </w:r>
      <w:r>
        <w:rPr>
          <w:rFonts w:ascii="Consolas" w:hAnsi="Consolas" w:eastAsia="Songti SC"/>
        </w:rPr>
        <w:t>0～360°</w:t>
      </w:r>
      <w:r>
        <w:rPr>
          <w:rFonts w:ascii="Times New Roman" w:hAnsi="Times New Roman" w:eastAsia="Songti SC"/>
          <w:b w:val="0"/>
        </w:rPr>
        <w:t>经度平移、线性缩放、范围过滤、缺失值填补、</w:t>
      </w:r>
      <w:r>
        <w:rPr>
          <w:rFonts w:ascii="Consolas" w:hAnsi="Consolas" w:eastAsia="Songti SC"/>
        </w:rPr>
        <w:t>data/std</w:t>
      </w:r>
      <w:r>
        <w:rPr>
          <w:rFonts w:ascii="Times New Roman" w:hAnsi="Times New Roman" w:eastAsia="Songti SC"/>
          <w:b w:val="0"/>
        </w:rPr>
        <w:t>保存和标签生成。配置字段、变量数量、已有数据集和标签状态共同覆盖标准化数据从源数据到目录登记的主要环节。</w:t>
      </w:r>
    </w:p>
    <w:p>
      <w:r>
        <w:rPr>
          <w:rFonts w:ascii="Times New Roman" w:hAnsi="Times New Roman" w:eastAsia="Songti SC"/>
          <w:b w:val="0"/>
        </w:rPr>
        <w:t>共享生产契约围绕维度、坐标、数值、缺失值填补、配置、输出和空间方向组织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版本化源适配器提取唯一的垂向层和时间层，共享YAML契约进一步完成维度声明、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b w:val="0"/>
        </w:rPr>
        <w:t>、</w:t>
      </w:r>
      <w:r>
        <w:rPr>
          <w:rFonts w:ascii="Consolas" w:hAnsi="Consolas" w:eastAsia="Songti SC"/>
        </w:rPr>
        <w:t>add_offset</w:t>
      </w:r>
      <w:r>
        <w:rPr>
          <w:rFonts w:ascii="Times New Roman" w:hAnsi="Times New Roman" w:eastAsia="Songti SC"/>
          <w:b w:val="0"/>
        </w:rPr>
        <w:t xml:space="preserve"> 和 </w:t>
      </w:r>
      <w:r>
        <w:rPr>
          <w:rFonts w:ascii="Consolas" w:hAnsi="Consolas" w:eastAsia="Songti SC"/>
        </w:rPr>
        <w:t>_FillValue</w:t>
      </w:r>
      <w:r>
        <w:rPr>
          <w:rFonts w:ascii="Times New Roman" w:hAnsi="Times New Roman" w:eastAsia="Songti SC"/>
          <w:b w:val="0"/>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直接NetCDF分发效率采用二维静态高程（ELEV）</w:t>
      </w:r>
      <w:r>
        <w:rPr>
          <w:rFonts w:ascii="Consolas" w:hAnsi="Consolas" w:eastAsia="Songti SC"/>
        </w:rPr>
        <w:t>ELEV_4X_1Y_V1</w:t>
      </w:r>
      <w:r>
        <w:rPr>
          <w:rFonts w:ascii="Times New Roman" w:hAnsi="Times New Roman" w:eastAsia="Songti SC"/>
          <w:b w:val="0"/>
        </w:rPr>
        <w:t>和三维8日叶面积指数（LAI）</w:t>
      </w:r>
      <w:r>
        <w:rPr>
          <w:rFonts w:ascii="Consolas" w:hAnsi="Consolas" w:eastAsia="Songti SC"/>
        </w:rPr>
        <w:t>LAI_MODIS_2X_8D_2020_V1</w:t>
      </w:r>
      <w:r>
        <w:rPr>
          <w:rFonts w:ascii="Times New Roman" w:hAnsi="Times New Roman" w:eastAsia="Songti SC"/>
          <w:b w:val="0"/>
        </w:rPr>
        <w:t>进行分析，代表不同规模和维度的内部压缩数据集。每个标准NetCDF分别以原始</w:t>
      </w:r>
      <w:r>
        <w:rPr>
          <w:rFonts w:ascii="Consolas" w:hAnsi="Consolas" w:eastAsia="Songti SC"/>
        </w:rPr>
        <w:t>.nc</w:t>
      </w:r>
      <w:r>
        <w:rPr>
          <w:rFonts w:ascii="Times New Roman" w:hAnsi="Times New Roman" w:eastAsia="Songti SC"/>
          <w:b w:val="0"/>
        </w:rPr>
        <w:t>和包含同一文件的</w:t>
      </w:r>
      <w:r>
        <w:rPr>
          <w:rFonts w:ascii="Consolas" w:hAnsi="Consolas" w:eastAsia="Songti SC"/>
        </w:rPr>
        <w:t>tar.gz</w:t>
      </w:r>
      <w:r>
        <w:rPr>
          <w:rFonts w:ascii="Times New Roman" w:hAnsi="Times New Roman" w:eastAsia="Songti SC"/>
          <w:b w:val="0"/>
        </w:rPr>
        <w:t>分发，对照归档采用gzip级别6。两种形式解包后的NetCDF具有相同SHA-256，据此量化省去外层打包与解包带来的时间和临时空间收益。</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b w:val="0"/>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跨操作系统运行一致性设计</w:t>
      </w:r>
    </w:p>
    <w:p>
      <w:r>
        <w:rPr>
          <w:rFonts w:ascii="Times New Roman" w:hAnsi="Times New Roman" w:eastAsia="Songti SC"/>
          <w:b w:val="0"/>
        </w:rPr>
        <w:t>跨操作系统运行一致性采用本地运行与持续集成相结合的设计。Windows和macOS本地环境运行生产矩阵、ELEV/LAI分发效率、13类受控状态场景以及核心软件与Emerald接口；Linux与另外两个系统的持续集成环境运行非交互生产、确定性分发、镜像状态和核心接口测试。统一项目依赖与参考数据用于比较数据结构、逐点数值、正式文件摘要和接口状态。</w:t>
      </w:r>
    </w:p>
    <w:p>
      <w:r>
        <w:rPr>
          <w:rFonts w:ascii="Times New Roman" w:hAnsi="Times New Roman" w:eastAsia="Songti SC"/>
          <w:b w:val="0"/>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共享生产契约与质量控制结果</w:t>
      </w:r>
    </w:p>
    <w:p>
      <w:r>
        <w:rPr>
          <w:rFonts w:ascii="Times New Roman" w:hAnsi="Times New Roman" w:eastAsia="Songti SC"/>
          <w:b w:val="0"/>
        </w:rPr>
        <w:t>三系统持续集成中的29组非交互实例获得一致的数据集结构和逐点数值；V01和V02的空间方向结果与预设一致。配置贡献案例进一步贯通YAML配置、标准化生成、目录登记和下游读取，生成数据集与参考数组逐点一致。</w:t>
      </w:r>
    </w:p>
    <w:p>
      <w:r>
        <w:rPr>
          <w:rFonts w:ascii="Times New Roman" w:hAnsi="Times New Roman" w:eastAsia="Songti SC"/>
          <w:b w:val="0"/>
        </w:rPr>
        <w:t>ELEV补充案例使用已通过文件大小和SHA-256校验的</w:t>
      </w:r>
      <w:r>
        <w:rPr>
          <w:rFonts w:ascii="Consolas" w:hAnsi="Consolas" w:eastAsia="Songti SC"/>
        </w:rPr>
        <w:t>ELEV_4X_1Y_V1.nc</w:t>
      </w:r>
      <w:r>
        <w:rPr>
          <w:rFonts w:ascii="Times New Roman" w:hAnsi="Times New Roman" w:eastAsia="Songti SC"/>
          <w:b w:val="0"/>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b w:val="0"/>
        </w:rPr>
        <w:t>和原值保持配置连续处理3次，三次</w:t>
      </w:r>
      <w:r>
        <w:rPr>
          <w:rFonts w:ascii="Consolas" w:hAnsi="Consolas" w:eastAsia="Songti SC"/>
        </w:rPr>
        <w:t>data/lon/lat</w:t>
      </w:r>
      <w:r>
        <w:rPr>
          <w:rFonts w:ascii="Times New Roman" w:hAnsi="Times New Roman" w:eastAsia="Songti SC"/>
          <w:b w:val="0"/>
        </w:rPr>
        <w:t>均与输入一致，输出文件SHA-256也彼此相同，表明标准化数据经过统一读取和生产流水线后保持科学数组及坐标。</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OISST案例展示了共享生产契约对异构地学源数据的组织能力。原始</w:t>
      </w:r>
      <w:r>
        <w:rPr>
          <w:rFonts w:ascii="Consolas" w:hAnsi="Consolas" w:eastAsia="Songti SC"/>
        </w:rPr>
        <w:t>sst</w:t>
      </w:r>
      <w:r>
        <w:rPr>
          <w:rFonts w:ascii="Times New Roman" w:hAnsi="Times New Roman" w:eastAsia="Songti SC"/>
          <w:b w:val="0"/>
        </w:rPr>
        <w:t>变量在Julia读取路径中呈现为1440×720×1×1的</w:t>
      </w:r>
      <w:r>
        <w:rPr>
          <w:rFonts w:ascii="Consolas" w:hAnsi="Consolas" w:eastAsia="Songti SC"/>
        </w:rPr>
        <w:t>lon×lat×zlev×time</w:t>
      </w:r>
      <w:r>
        <w:rPr>
          <w:rFonts w:ascii="Times New Roman" w:hAnsi="Times New Roman" w:eastAsia="Songti SC"/>
          <w:b w:val="0"/>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b w:val="0"/>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b w:val="0"/>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b w:val="0"/>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b w:val="0"/>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b w:val="0"/>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b w:val="0"/>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b w:val="0"/>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目录与数据获取模块将目录初始化、事务更新、数据集同步、镜像获取、状态查询和历史数据整理组织为统一接口。独立目录支持数据集随镜像和版本更新，事务缓存区与正式数据区分离传输过程和已发布数据。</w:t>
      </w:r>
    </w:p>
    <w:p>
      <w:r>
        <w:rPr>
          <w:rFonts w:ascii="Times New Roman" w:hAnsi="Times New Roman" w:eastAsia="Songti SC"/>
          <w:b w:val="0"/>
        </w:rPr>
        <w:t>13类受控状态场景在两个独立操作系统环境中各重复5次。目录与数据获取模块按照延迟辅助排序候选，并在访问或内容核验状态变化时遍历其余地址；每次获取均以独立临时文件完成传输，内容核验通过后进入正式路径，既有正式文件摘要保持一致。</w:t>
      </w:r>
    </w:p>
    <w:p>
      <w:r>
        <w:rPr>
          <w:rFonts w:ascii="Times New Roman" w:hAnsi="Times New Roman" w:eastAsia="Songti SC"/>
          <w:b w:val="0"/>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b w:val="0"/>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b w:val="0"/>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b w:val="0"/>
        </w:rPr>
        <w:t>保持稳定，目录将其物理URL指向</w:t>
      </w:r>
      <w:r>
        <w:rPr>
          <w:rFonts w:ascii="Consolas" w:hAnsi="Consolas" w:eastAsia="Songti SC"/>
        </w:rPr>
        <w:t>V1_R1.nc</w:t>
      </w:r>
      <w:r>
        <w:rPr>
          <w:rFonts w:ascii="Times New Roman" w:hAnsi="Times New Roman" w:eastAsia="Songti SC"/>
          <w:b w:val="0"/>
        </w:rPr>
        <w:t>并登记新的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b w:val="0"/>
        </w:rPr>
        <w:t>真实气象案例读取2020年8类ERA5标准化数据，八文件合计12 575 376 138字节；各</w:t>
      </w:r>
      <w:r>
        <w:rPr>
          <w:rFonts w:ascii="Consolas" w:hAnsi="Consolas" w:eastAsia="Songti SC"/>
        </w:rPr>
        <w:t>data</w:t>
      </w:r>
      <w:r>
        <w:rPr>
          <w:rFonts w:ascii="Times New Roman" w:hAnsi="Times New Roman" w:eastAsia="Songti SC"/>
          <w:b w:val="0"/>
        </w:rPr>
        <w:t>变量均为</w:t>
      </w:r>
      <w:r>
        <w:rPr>
          <w:rFonts w:ascii="Consolas" w:hAnsi="Consolas" w:eastAsia="Songti SC"/>
        </w:rPr>
        <w:t>lon×lat×ind</w:t>
      </w:r>
      <w:r>
        <w:rPr>
          <w:rFonts w:ascii="Times New Roman" w:hAnsi="Times New Roman" w:eastAsia="Songti SC"/>
          <w:b w:val="0"/>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b w:val="0"/>
        </w:rPr>
        <w:t>严格递增且与独立公式逐点一致。气象驱动组织形成</w:t>
      </w:r>
      <w:r>
        <w:rPr>
          <w:rFonts w:ascii="Consolas" w:hAnsi="Consolas" w:eastAsia="Songti SC"/>
        </w:rPr>
        <w:t>FDOY</w:t>
      </w:r>
      <w:r>
        <w:rPr>
          <w:rFonts w:ascii="Times New Roman" w:hAnsi="Times New Roman" w:eastAsia="Songti SC"/>
          <w:b w:val="0"/>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b w:val="0"/>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b w:val="0"/>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b w:val="0"/>
        </w:rPr>
        <w:t>4.5 跨操作系统运行一致性结果</w:t>
      </w:r>
    </w:p>
    <w:p>
      <w:r>
        <w:rPr>
          <w:rFonts w:ascii="Times New Roman" w:hAnsi="Times New Roman" w:eastAsia="Songti SC"/>
          <w:b w:val="0"/>
        </w:rPr>
        <w:t>跨系统测试显示，核心数据结构、逐点结果、文件摘要和接口状态在Windows、macOS和Linux的既定运行路径中保持一致；GriddingMachine、GriddingMachineDatasets及Emerald合成输入接口均通过相应测试。详细测试矩阵见补充材料S5。</w:t>
      </w:r>
    </w:p>
    <w:p>
      <w:r>
        <w:rPr>
          <w:rFonts w:ascii="Times New Roman" w:hAnsi="Times New Roman" w:eastAsia="Songti SC"/>
          <w:b w:val="0"/>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已建立统一网格、变量约定、标签访问和多语言接口[5]。本轮更新进一步把数据源专用处理规则整理为共享配置，将数据目录与软件包分开维护，并将标准网格读取延伸到陆面参数和气象驱动组织。目录审计时共登记1179个数据条目，均配置机构FTP地址，部分条目另有Zenodo镜像；统一的数据规范与目录结构支持这些条目采用相同的获取和读取流程。这样的组织方式可减少不同数据集和模式之间重复编写转换、下载与接口程序的工作，并使数据修订能够沿配置、目录和文件记录持续更新。</w:t>
      </w:r>
    </w:p>
    <w:p>
      <w:r>
        <w:rPr>
          <w:rFonts w:ascii="Times New Roman" w:hAnsi="Times New Roman" w:eastAsia="Songti SC"/>
          <w:b w:val="0"/>
        </w:rPr>
        <w:t>本文案例从数据结构与应用方式两个方面覆盖主要流程：OISST检验单例维度、存储缩放和经度范围差异的标准化处理，ELEV和LAI比较直接NetCDF与外层归档的分发效率，14类陆面数据与8类ERA5数据则贯通标准网格读取和模式输入组织。共享配置、数据标签与接口约定使这些处理方法能够用于其他符合相同规范的数据。ERA5降水修订进一步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b w:val="0"/>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b w:val="0"/>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NetCDF/CF提供多维数据表达与元数据约定[2,3]，地球系统数据立方体强调多变量时空数据的联合组织与分析[12]。GriddingMachine在这些基础上固定规则网格、变量命名和数据标签，使不同来源的数据能够进入一致的本地读取流程；其核心实现使用Julia[13]，通过可组合的数据处理与读取接口连接标准化过程和模式程序。Google Earth Engine侧重云端遥感数据访问与计算[4]，ESGF侧重分布式气候模式数据发现和访问[14]，Pangeo及Pangeo Forge支持云端数据组织与可复用的处理配方[15,16]。GriddingMachine面向固定版本、离线缓存和本地模式调用，以共享配置、独立目录和模式输入接口把标准化数据接入本地科研程序。</w:t>
      </w:r>
    </w:p>
    <w:p>
      <w:r>
        <w:rPr>
          <w:rFonts w:ascii="Times New Roman" w:hAnsi="Times New Roman" w:eastAsia="Songti SC"/>
          <w:b w:val="0"/>
        </w:rPr>
        <w:t>国内地球系统科学数据共享研究强调规范分类和目录建设[17]。Pooch和STAC分别提供科研文件获取及地理空间数据目录描述工具[18,19]，可为GriddingMachine的标签目录和标准网格组织提供补充。持续维护围绕数据目录、镜像登记、归档和模式接口展开，软件引用、科研软件 FAIR 原则（FAIR4RS）和数字资源库 TRUST 原则为软件复用、资源维护和长期科研协作提供参考[20-22]；在此基础上还可扩展更多数据源和模式。</w:t>
      </w:r>
    </w:p>
    <w:p>
      <w:pPr>
        <w:pStyle w:val="Heading1"/>
      </w:pPr>
      <w:r>
        <w:rPr>
          <w:rFonts w:ascii="Times New Roman" w:hAnsi="Times New Roman" w:eastAsia="Songti SC"/>
          <w:b w:val="0"/>
        </w:rPr>
        <w:t>6 结论</w:t>
      </w:r>
    </w:p>
    <w:p>
      <w:r>
        <w:rPr>
          <w:rFonts w:ascii="Times New Roman" w:hAnsi="Times New Roman" w:eastAsia="Songti SC"/>
          <w:b w:val="0"/>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扩展了不同科研编程环境下的数据获取方式。</w:t>
      </w:r>
    </w:p>
    <w:p>
      <w:r>
        <w:rPr>
          <w:rFonts w:ascii="Times New Roman" w:hAnsi="Times New Roman" w:eastAsia="Songti SC"/>
          <w:b w:val="0"/>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b w:val="0"/>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b w:val="0"/>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b w:val="0"/>
        </w:rPr>
        <w:t>、</w:t>
      </w:r>
      <w:r>
        <w:rPr>
          <w:rFonts w:ascii="Consolas" w:hAnsi="Consolas" w:eastAsia="Songti SC"/>
        </w:rPr>
        <w:t>griddingmachine-datasets-paper-2026-v1</w:t>
      </w:r>
      <w:r>
        <w:rPr>
          <w:rFonts w:ascii="Times New Roman" w:hAnsi="Times New Roman" w:eastAsia="Songti SC"/>
          <w:b w:val="0"/>
        </w:rPr>
        <w:t>和</w:t>
      </w:r>
      <w:r>
        <w:rPr>
          <w:rFonts w:ascii="Consolas" w:hAnsi="Consolas" w:eastAsia="Songti SC"/>
        </w:rPr>
        <w:t>emerald-paper-2026-v1</w:t>
      </w:r>
      <w:r>
        <w:rPr>
          <w:rFonts w:ascii="Times New Roman" w:hAnsi="Times New Roman" w:eastAsia="Songti SC"/>
          <w:b w:val="0"/>
        </w:rPr>
        <w:t>标签固定。多语言下载入口位于GriddingMachine.jl的</w:t>
      </w:r>
      <w:r>
        <w:rPr>
          <w:rFonts w:ascii="Consolas" w:hAnsi="Consolas" w:eastAsia="Songti SC"/>
        </w:rPr>
        <w:t>clients</w:t>
      </w:r>
      <w:r>
        <w:rPr>
          <w:rFonts w:ascii="Times New Roman" w:hAnsi="Times New Roman" w:eastAsia="Songti SC"/>
          <w:b w:val="0"/>
        </w:rPr>
        <w:t>目录，对应发布分支提交</w:t>
      </w:r>
      <w:r>
        <w:rPr>
          <w:rFonts w:ascii="Consolas" w:hAnsi="Consolas" w:eastAsia="Songti SC"/>
        </w:rPr>
        <w:t>8b3ff703e14f1a387281f4c814f2620438e8f9aa</w:t>
      </w:r>
      <w:r>
        <w:rPr>
          <w:rFonts w:ascii="Times New Roman" w:hAnsi="Times New Roman" w:eastAsia="Songti SC"/>
          <w:b w:val="0"/>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