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配置规范表达源维度、坐标、数值变换和缺失值填补（Gapfill）以及质量控制；数据目录与获取层以逻辑标签连接数据副本，并对登记了文件字节数和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由三个相互衔接的数据生命周期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artifacts,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 xml:space="preserve"> artifact</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artifact哈希寻址、多个URL和解包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Gapfill与范围</w:t>
            </w:r>
          </w:p>
        </w:tc>
        <w:tc>
          <w:tcPr>
            <w:tcW w:type="dxa" w:w="2948"/>
          </w:tcPr>
          <w:p>
            <w:r>
              <w:rPr>
                <w:sz w:val="18"/>
              </w:rPr>
            </w:r>
            <w:r>
              <w:rPr>
                <w:rFonts w:ascii="Times New Roman" w:hAnsi="Times New Roman" w:eastAsia="Songti SC"/>
                <w:sz w:val="18"/>
              </w:rPr>
              <w:t>有效范围、填充值和Gapfill策略由YAML显式声明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YAML声明维度、坐标、数值与Gapfill规则；NetCDF属性写入逐项变更记录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Gapfill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生产流程在保存前检查维度、坐标、变量、数值范围和Gapfill结果，空间方向图进一步呈现坐标语义。质量控制完成后生成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植物功能型比例进一步用于融合C3/C4植被的叶片光学参数和Medlyn气孔参数，并由</w:t>
      </w:r>
      <w:r>
        <w:rPr>
          <w:rFonts w:ascii="Consolas" w:hAnsi="Consolas" w:eastAsia="Songti SC"/>
        </w:rPr>
        <w:t>VCMAX25</w:t>
      </w:r>
      <w:r>
        <w:rPr>
          <w:rFonts w:ascii="Times New Roman" w:hAnsi="Times New Roman" w:eastAsia="Songti SC"/>
        </w:rPr>
        <w:t>推导</w:t>
      </w:r>
      <w:r>
        <w:rPr>
          <w:rFonts w:ascii="Consolas" w:hAnsi="Consolas" w:eastAsia="Songti SC"/>
        </w:rPr>
        <w:t>JMAX25</w:t>
      </w:r>
      <w:r>
        <w:rPr>
          <w:rFonts w:ascii="Times New Roman" w:hAnsi="Times New Roman" w:eastAsia="Songti SC"/>
        </w:rPr>
        <w:t>和</w:t>
      </w:r>
      <w:r>
        <w:rPr>
          <w:rFonts w:ascii="Consolas" w:hAnsi="Consolas" w:eastAsia="Songti SC"/>
        </w:rPr>
        <w:t>B6F</w:t>
      </w:r>
      <w:r>
        <w:rPr>
          <w:rFonts w:ascii="Times New Roman" w:hAnsi="Times New Roman" w:eastAsia="Songti SC"/>
        </w:rPr>
        <w:t>。输出涵盖位置、分辨率、年份、CO₂、土壤水力性质、冠层结构、植物功能型组成、叶片生物物理和光合参数；字段完整性与</w:t>
      </w:r>
      <w:r>
        <w:rPr>
          <w:rFonts w:ascii="Consolas" w:hAnsi="Consolas" w:eastAsia="Songti SC"/>
        </w:rPr>
        <w:t>NaN</w:t>
      </w:r>
      <w:r>
        <w:rPr>
          <w:rFonts w:ascii="Times New Roman" w:hAnsi="Times New Roman" w:eastAsia="Songti SC"/>
        </w:rPr>
        <w:t>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经度平移、线性缩放、范围过滤、Gapfill、</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Gapfill、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Gapfill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Gapfill、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